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29785" w14:textId="77777777" w:rsidR="003D466B" w:rsidRPr="00304A95" w:rsidRDefault="003D466B" w:rsidP="003D466B">
      <w:pPr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 w:rsidRPr="00304A95">
        <w:rPr>
          <w:rFonts w:ascii="Arial" w:hAnsi="Arial" w:cs="Arial"/>
          <w:b/>
          <w:bCs/>
          <w:sz w:val="26"/>
          <w:szCs w:val="26"/>
        </w:rPr>
        <w:t>NEONICOTINOID INSECTICIDES: What EPA needs to know!</w:t>
      </w:r>
    </w:p>
    <w:p w14:paraId="2AEBA4E1" w14:textId="0A118500" w:rsidR="003D466B" w:rsidRPr="003D466B" w:rsidRDefault="003D466B" w:rsidP="003D466B">
      <w:pPr>
        <w:rPr>
          <w:rFonts w:ascii="Arial" w:hAnsi="Arial" w:cs="Arial"/>
          <w:bCs/>
          <w:i/>
          <w:sz w:val="24"/>
          <w:szCs w:val="24"/>
        </w:rPr>
      </w:pPr>
      <w:r w:rsidRPr="003D466B">
        <w:rPr>
          <w:rFonts w:ascii="Arial" w:hAnsi="Arial" w:cs="Arial"/>
          <w:bCs/>
          <w:i/>
          <w:sz w:val="24"/>
          <w:szCs w:val="24"/>
        </w:rPr>
        <w:t xml:space="preserve">Good for farmers, </w:t>
      </w:r>
      <w:r w:rsidR="00D31ED9" w:rsidRPr="003D466B">
        <w:rPr>
          <w:rFonts w:ascii="Arial" w:hAnsi="Arial" w:cs="Arial"/>
          <w:bCs/>
          <w:i/>
          <w:sz w:val="24"/>
          <w:szCs w:val="24"/>
        </w:rPr>
        <w:t>good for communities</w:t>
      </w:r>
      <w:r w:rsidR="00D31ED9">
        <w:rPr>
          <w:rFonts w:ascii="Arial" w:hAnsi="Arial" w:cs="Arial"/>
          <w:bCs/>
          <w:i/>
          <w:sz w:val="24"/>
          <w:szCs w:val="24"/>
        </w:rPr>
        <w:t>,</w:t>
      </w:r>
      <w:r w:rsidR="00D31ED9" w:rsidRPr="003D466B">
        <w:rPr>
          <w:rFonts w:ascii="Arial" w:hAnsi="Arial" w:cs="Arial"/>
          <w:bCs/>
          <w:i/>
          <w:sz w:val="24"/>
          <w:szCs w:val="24"/>
        </w:rPr>
        <w:t xml:space="preserve"> </w:t>
      </w:r>
      <w:r w:rsidRPr="003D466B">
        <w:rPr>
          <w:rFonts w:ascii="Arial" w:hAnsi="Arial" w:cs="Arial"/>
          <w:bCs/>
          <w:i/>
          <w:sz w:val="24"/>
          <w:szCs w:val="24"/>
        </w:rPr>
        <w:t>good for the economy</w:t>
      </w:r>
    </w:p>
    <w:p w14:paraId="2D21243B" w14:textId="77777777" w:rsidR="003D466B" w:rsidRPr="003D466B" w:rsidRDefault="003D466B" w:rsidP="003D466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B77B2C3" w14:textId="77777777" w:rsidR="003D466B" w:rsidRPr="00EF7C03" w:rsidRDefault="003D466B" w:rsidP="003D466B">
      <w:pPr>
        <w:rPr>
          <w:rFonts w:ascii="Arial" w:hAnsi="Arial" w:cs="Arial"/>
          <w:b/>
          <w:bCs/>
          <w:sz w:val="24"/>
          <w:szCs w:val="24"/>
        </w:rPr>
      </w:pPr>
      <w:r w:rsidRPr="00EF7C03">
        <w:rPr>
          <w:rFonts w:ascii="Arial" w:hAnsi="Arial" w:cs="Arial"/>
          <w:b/>
          <w:bCs/>
          <w:sz w:val="24"/>
          <w:szCs w:val="24"/>
        </w:rPr>
        <w:t>Background</w:t>
      </w:r>
    </w:p>
    <w:p w14:paraId="6A11E00B" w14:textId="6989AED2" w:rsidR="003D466B" w:rsidRPr="000E7656" w:rsidRDefault="00D31ED9" w:rsidP="003D466B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>I</w:t>
      </w:r>
      <w:r w:rsidRPr="000E7656">
        <w:rPr>
          <w:rFonts w:ascii="Arial" w:hAnsi="Arial" w:cs="Arial"/>
          <w:bCs/>
          <w:sz w:val="22"/>
        </w:rPr>
        <w:t xml:space="preserve">ntroduced </w:t>
      </w:r>
      <w:r w:rsidR="003D466B" w:rsidRPr="000E7656">
        <w:rPr>
          <w:rFonts w:ascii="Arial" w:hAnsi="Arial" w:cs="Arial"/>
          <w:bCs/>
          <w:sz w:val="22"/>
        </w:rPr>
        <w:t xml:space="preserve">in the mid-1990s, </w:t>
      </w:r>
      <w:r>
        <w:rPr>
          <w:rFonts w:ascii="Arial" w:hAnsi="Arial" w:cs="Arial"/>
          <w:bCs/>
          <w:sz w:val="22"/>
        </w:rPr>
        <w:t>n</w:t>
      </w:r>
      <w:r w:rsidRPr="000E7656">
        <w:rPr>
          <w:rFonts w:ascii="Arial" w:hAnsi="Arial" w:cs="Arial"/>
          <w:bCs/>
          <w:sz w:val="22"/>
        </w:rPr>
        <w:t xml:space="preserve">eonicotinoid insecticides </w:t>
      </w:r>
      <w:r w:rsidR="003D466B" w:rsidRPr="000E7656">
        <w:rPr>
          <w:rFonts w:ascii="Arial" w:hAnsi="Arial" w:cs="Arial"/>
          <w:bCs/>
          <w:sz w:val="22"/>
        </w:rPr>
        <w:t xml:space="preserve">have become </w:t>
      </w:r>
      <w:r w:rsidR="005429B8">
        <w:rPr>
          <w:rFonts w:ascii="Arial" w:hAnsi="Arial" w:cs="Arial"/>
          <w:bCs/>
          <w:sz w:val="22"/>
        </w:rPr>
        <w:t>one of the most important</w:t>
      </w:r>
      <w:r w:rsidR="005429B8" w:rsidRPr="000E7656">
        <w:rPr>
          <w:rFonts w:ascii="Arial" w:hAnsi="Arial" w:cs="Arial"/>
          <w:bCs/>
          <w:sz w:val="22"/>
        </w:rPr>
        <w:t xml:space="preserve"> </w:t>
      </w:r>
      <w:r w:rsidR="003D466B" w:rsidRPr="000E7656">
        <w:rPr>
          <w:rFonts w:ascii="Arial" w:hAnsi="Arial" w:cs="Arial"/>
          <w:bCs/>
          <w:sz w:val="22"/>
        </w:rPr>
        <w:t>tools</w:t>
      </w:r>
      <w:r w:rsidR="005429B8">
        <w:rPr>
          <w:rFonts w:ascii="Arial" w:hAnsi="Arial" w:cs="Arial"/>
          <w:bCs/>
          <w:sz w:val="22"/>
        </w:rPr>
        <w:t xml:space="preserve"> used</w:t>
      </w:r>
      <w:r w:rsidR="003D466B" w:rsidRPr="000E7656">
        <w:rPr>
          <w:rFonts w:ascii="Arial" w:hAnsi="Arial" w:cs="Arial"/>
          <w:bCs/>
          <w:sz w:val="22"/>
        </w:rPr>
        <w:t xml:space="preserve"> in agriculture and the largest selling insecticide class in the world. Commonly called “neonics,” they can be used on </w:t>
      </w:r>
      <w:r w:rsidR="005429B8">
        <w:rPr>
          <w:rFonts w:ascii="Arial" w:hAnsi="Arial" w:cs="Arial"/>
          <w:bCs/>
          <w:sz w:val="22"/>
        </w:rPr>
        <w:t>many</w:t>
      </w:r>
      <w:r w:rsidR="003D466B" w:rsidRPr="000E7656">
        <w:rPr>
          <w:rFonts w:ascii="Arial" w:hAnsi="Arial" w:cs="Arial"/>
          <w:bCs/>
          <w:sz w:val="22"/>
        </w:rPr>
        <w:t xml:space="preserve"> crops as a seed treatment, foliar </w:t>
      </w:r>
      <w:r w:rsidR="005429B8">
        <w:rPr>
          <w:rFonts w:ascii="Arial" w:hAnsi="Arial" w:cs="Arial"/>
          <w:bCs/>
          <w:sz w:val="22"/>
        </w:rPr>
        <w:t>spray</w:t>
      </w:r>
      <w:r w:rsidR="003D466B" w:rsidRPr="000E7656">
        <w:rPr>
          <w:rFonts w:ascii="Arial" w:hAnsi="Arial" w:cs="Arial"/>
          <w:bCs/>
          <w:sz w:val="22"/>
        </w:rPr>
        <w:t xml:space="preserve"> </w:t>
      </w:r>
      <w:r w:rsidR="005429B8">
        <w:rPr>
          <w:rFonts w:ascii="Arial" w:hAnsi="Arial" w:cs="Arial"/>
          <w:bCs/>
          <w:sz w:val="22"/>
        </w:rPr>
        <w:t>or</w:t>
      </w:r>
      <w:r w:rsidR="005429B8" w:rsidRPr="000E7656">
        <w:rPr>
          <w:rFonts w:ascii="Arial" w:hAnsi="Arial" w:cs="Arial"/>
          <w:bCs/>
          <w:sz w:val="22"/>
        </w:rPr>
        <w:t xml:space="preserve"> </w:t>
      </w:r>
      <w:r w:rsidR="003D466B" w:rsidRPr="000E7656">
        <w:rPr>
          <w:rFonts w:ascii="Arial" w:hAnsi="Arial" w:cs="Arial"/>
          <w:bCs/>
          <w:sz w:val="22"/>
        </w:rPr>
        <w:t xml:space="preserve">soil application. However, most neonics – more than 90 percent — are used to treat seeds to protect them from destructive insects that hide below ground. </w:t>
      </w:r>
    </w:p>
    <w:p w14:paraId="4ACCF3EA" w14:textId="77777777" w:rsidR="003D466B" w:rsidRPr="000E7656" w:rsidRDefault="003D466B" w:rsidP="003D466B">
      <w:pPr>
        <w:rPr>
          <w:rFonts w:ascii="Arial" w:hAnsi="Arial" w:cs="Arial"/>
          <w:b/>
          <w:bCs/>
          <w:sz w:val="22"/>
        </w:rPr>
      </w:pPr>
    </w:p>
    <w:p w14:paraId="5452C11F" w14:textId="44389F20" w:rsidR="003D466B" w:rsidRPr="000B64B1" w:rsidRDefault="003D466B" w:rsidP="003D466B">
      <w:pPr>
        <w:rPr>
          <w:rFonts w:ascii="Arial" w:hAnsi="Arial" w:cs="Arial"/>
          <w:bCs/>
          <w:sz w:val="22"/>
        </w:rPr>
      </w:pPr>
      <w:r w:rsidRPr="000E7656">
        <w:rPr>
          <w:rFonts w:ascii="Arial" w:hAnsi="Arial" w:cs="Arial"/>
          <w:bCs/>
          <w:sz w:val="22"/>
        </w:rPr>
        <w:t xml:space="preserve">A comprehensive, 16-report study by AgInfomatics, released in 2014 and 2015, showed neonicotinoid insecticides increase crop yields, add </w:t>
      </w:r>
      <w:r w:rsidRPr="000E7656">
        <w:rPr>
          <w:rFonts w:ascii="Arial" w:hAnsi="Arial" w:cs="Arial"/>
          <w:bCs/>
          <w:sz w:val="22"/>
          <w:u w:val="single"/>
        </w:rPr>
        <w:t>billions</w:t>
      </w:r>
      <w:r w:rsidRPr="000E7656">
        <w:rPr>
          <w:rFonts w:ascii="Arial" w:hAnsi="Arial" w:cs="Arial"/>
          <w:bCs/>
          <w:sz w:val="22"/>
        </w:rPr>
        <w:t xml:space="preserve"> of dollars to the economy and benefit entire communities, not just farmers. The research reports, along with news releases, fact sheets, infographics and videos, are available at </w:t>
      </w:r>
      <w:hyperlink r:id="rId8" w:history="1">
        <w:r w:rsidRPr="000E7656">
          <w:rPr>
            <w:rStyle w:val="Hyperlink"/>
            <w:rFonts w:ascii="Arial" w:hAnsi="Arial" w:cs="Arial"/>
            <w:bCs/>
            <w:sz w:val="22"/>
          </w:rPr>
          <w:t>GrowingMatters.org</w:t>
        </w:r>
      </w:hyperlink>
      <w:r w:rsidRPr="000E7656">
        <w:rPr>
          <w:rFonts w:ascii="Arial" w:hAnsi="Arial" w:cs="Arial"/>
          <w:bCs/>
          <w:sz w:val="22"/>
        </w:rPr>
        <w:t xml:space="preserve">. </w:t>
      </w:r>
    </w:p>
    <w:p w14:paraId="05C79D4E" w14:textId="77777777" w:rsidR="003D466B" w:rsidRPr="00C07DE8" w:rsidRDefault="003D466B" w:rsidP="003D466B">
      <w:pPr>
        <w:rPr>
          <w:rFonts w:ascii="Arial" w:hAnsi="Arial" w:cs="Arial"/>
          <w:bCs/>
          <w:sz w:val="24"/>
          <w:szCs w:val="24"/>
        </w:rPr>
      </w:pPr>
    </w:p>
    <w:p w14:paraId="55EA610C" w14:textId="77777777" w:rsidR="003D466B" w:rsidRPr="00C07DE8" w:rsidRDefault="003D466B" w:rsidP="003D466B">
      <w:pPr>
        <w:rPr>
          <w:rFonts w:ascii="Arial" w:hAnsi="Arial" w:cs="Arial"/>
          <w:b/>
          <w:bCs/>
          <w:sz w:val="24"/>
          <w:szCs w:val="24"/>
        </w:rPr>
      </w:pPr>
      <w:r w:rsidRPr="00C07DE8">
        <w:rPr>
          <w:rFonts w:ascii="Arial" w:hAnsi="Arial" w:cs="Arial"/>
          <w:b/>
          <w:bCs/>
          <w:sz w:val="24"/>
          <w:szCs w:val="24"/>
        </w:rPr>
        <w:t xml:space="preserve">Registration review </w:t>
      </w:r>
    </w:p>
    <w:p w14:paraId="1B99ED8B" w14:textId="57FDE0AA" w:rsidR="003D466B" w:rsidRDefault="005429B8" w:rsidP="003D466B">
      <w:pPr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N</w:t>
      </w:r>
      <w:r w:rsidR="003D466B">
        <w:rPr>
          <w:rFonts w:ascii="Arial" w:hAnsi="Arial" w:cs="Arial"/>
          <w:bCs/>
          <w:sz w:val="22"/>
          <w:szCs w:val="20"/>
        </w:rPr>
        <w:t>eonicotinoid</w:t>
      </w:r>
      <w:r w:rsidR="005A2E19">
        <w:rPr>
          <w:rFonts w:ascii="Arial" w:hAnsi="Arial" w:cs="Arial"/>
          <w:bCs/>
          <w:sz w:val="22"/>
          <w:szCs w:val="20"/>
        </w:rPr>
        <w:t>s</w:t>
      </w:r>
      <w:r w:rsidR="003D466B">
        <w:rPr>
          <w:rFonts w:ascii="Arial" w:hAnsi="Arial" w:cs="Arial"/>
          <w:bCs/>
          <w:sz w:val="22"/>
          <w:szCs w:val="20"/>
        </w:rPr>
        <w:t xml:space="preserve"> </w:t>
      </w:r>
      <w:r>
        <w:rPr>
          <w:rFonts w:ascii="Arial" w:hAnsi="Arial" w:cs="Arial"/>
          <w:bCs/>
          <w:sz w:val="22"/>
          <w:szCs w:val="20"/>
        </w:rPr>
        <w:t>are</w:t>
      </w:r>
      <w:r w:rsidR="003D466B">
        <w:rPr>
          <w:rFonts w:ascii="Arial" w:hAnsi="Arial" w:cs="Arial"/>
          <w:bCs/>
          <w:sz w:val="22"/>
          <w:szCs w:val="20"/>
        </w:rPr>
        <w:t xml:space="preserve"> </w:t>
      </w:r>
      <w:r>
        <w:rPr>
          <w:rFonts w:ascii="Arial" w:hAnsi="Arial" w:cs="Arial"/>
          <w:bCs/>
          <w:sz w:val="22"/>
          <w:szCs w:val="20"/>
        </w:rPr>
        <w:t xml:space="preserve">currently </w:t>
      </w:r>
      <w:r w:rsidR="003D466B">
        <w:rPr>
          <w:rFonts w:ascii="Arial" w:hAnsi="Arial" w:cs="Arial"/>
          <w:bCs/>
          <w:sz w:val="22"/>
          <w:szCs w:val="20"/>
        </w:rPr>
        <w:t xml:space="preserve">undergoing registration review, an extensive scientific process </w:t>
      </w:r>
      <w:r w:rsidR="003E6619">
        <w:rPr>
          <w:rFonts w:ascii="Arial" w:hAnsi="Arial" w:cs="Arial"/>
          <w:bCs/>
          <w:sz w:val="22"/>
          <w:szCs w:val="20"/>
        </w:rPr>
        <w:t xml:space="preserve">that </w:t>
      </w:r>
      <w:r>
        <w:rPr>
          <w:rFonts w:ascii="Arial" w:hAnsi="Arial" w:cs="Arial"/>
          <w:bCs/>
          <w:sz w:val="22"/>
          <w:szCs w:val="20"/>
        </w:rPr>
        <w:t xml:space="preserve">the </w:t>
      </w:r>
      <w:r w:rsidR="003D466B">
        <w:rPr>
          <w:rFonts w:ascii="Arial" w:hAnsi="Arial" w:cs="Arial"/>
          <w:bCs/>
          <w:sz w:val="22"/>
          <w:szCs w:val="20"/>
        </w:rPr>
        <w:t xml:space="preserve">EPA conducts on </w:t>
      </w:r>
      <w:r>
        <w:rPr>
          <w:rFonts w:ascii="Arial" w:hAnsi="Arial" w:cs="Arial"/>
          <w:bCs/>
          <w:sz w:val="22"/>
          <w:szCs w:val="20"/>
        </w:rPr>
        <w:t xml:space="preserve">all </w:t>
      </w:r>
      <w:r w:rsidR="003D466B">
        <w:rPr>
          <w:rFonts w:ascii="Arial" w:hAnsi="Arial" w:cs="Arial"/>
          <w:bCs/>
          <w:sz w:val="22"/>
          <w:szCs w:val="20"/>
        </w:rPr>
        <w:t>registered pesticide</w:t>
      </w:r>
      <w:r>
        <w:rPr>
          <w:rFonts w:ascii="Arial" w:hAnsi="Arial" w:cs="Arial"/>
          <w:bCs/>
          <w:sz w:val="22"/>
          <w:szCs w:val="20"/>
        </w:rPr>
        <w:t>s</w:t>
      </w:r>
      <w:r w:rsidR="003D466B">
        <w:rPr>
          <w:rFonts w:ascii="Arial" w:hAnsi="Arial" w:cs="Arial"/>
          <w:bCs/>
          <w:sz w:val="22"/>
          <w:szCs w:val="20"/>
        </w:rPr>
        <w:t xml:space="preserve"> every 15 years</w:t>
      </w:r>
      <w:r>
        <w:rPr>
          <w:rFonts w:ascii="Arial" w:hAnsi="Arial" w:cs="Arial"/>
          <w:bCs/>
          <w:sz w:val="22"/>
          <w:szCs w:val="20"/>
        </w:rPr>
        <w:t>, to ensure they meet the latest scientific standards</w:t>
      </w:r>
      <w:r w:rsidR="003D466B">
        <w:rPr>
          <w:rFonts w:ascii="Arial" w:hAnsi="Arial" w:cs="Arial"/>
          <w:bCs/>
          <w:sz w:val="22"/>
          <w:szCs w:val="20"/>
        </w:rPr>
        <w:t>. This multistep process typically takes five to eight years</w:t>
      </w:r>
      <w:r>
        <w:rPr>
          <w:rFonts w:ascii="Arial" w:hAnsi="Arial" w:cs="Arial"/>
          <w:bCs/>
          <w:sz w:val="22"/>
          <w:szCs w:val="20"/>
        </w:rPr>
        <w:t xml:space="preserve"> to complete</w:t>
      </w:r>
      <w:r w:rsidR="003D466B">
        <w:rPr>
          <w:rFonts w:ascii="Arial" w:hAnsi="Arial" w:cs="Arial"/>
          <w:bCs/>
          <w:sz w:val="22"/>
          <w:szCs w:val="20"/>
        </w:rPr>
        <w:t xml:space="preserve">. </w:t>
      </w:r>
    </w:p>
    <w:p w14:paraId="7B3A9B59" w14:textId="77777777" w:rsidR="003D466B" w:rsidRDefault="003D466B" w:rsidP="003D466B">
      <w:pPr>
        <w:rPr>
          <w:rFonts w:ascii="Arial" w:hAnsi="Arial" w:cs="Arial"/>
          <w:bCs/>
          <w:sz w:val="22"/>
          <w:szCs w:val="20"/>
        </w:rPr>
      </w:pPr>
    </w:p>
    <w:p w14:paraId="1266ABD5" w14:textId="3AF2EDF6" w:rsidR="003D466B" w:rsidRDefault="003D466B" w:rsidP="003D466B">
      <w:pPr>
        <w:rPr>
          <w:rFonts w:ascii="Arial" w:hAnsi="Arial" w:cs="Arial"/>
          <w:bCs/>
          <w:sz w:val="22"/>
        </w:rPr>
      </w:pPr>
      <w:r w:rsidRPr="00C34738">
        <w:rPr>
          <w:rFonts w:ascii="Arial" w:hAnsi="Arial" w:cs="Arial"/>
          <w:bCs/>
          <w:sz w:val="22"/>
        </w:rPr>
        <w:t>EPA plans to review all neonics in the same timeframe to ensure consistency across the class. As risk assessments</w:t>
      </w:r>
      <w:r>
        <w:rPr>
          <w:rFonts w:ascii="Arial" w:hAnsi="Arial" w:cs="Arial"/>
          <w:bCs/>
          <w:sz w:val="22"/>
        </w:rPr>
        <w:t xml:space="preserve"> are completed</w:t>
      </w:r>
      <w:r w:rsidRPr="00C34738">
        <w:rPr>
          <w:rFonts w:ascii="Arial" w:hAnsi="Arial" w:cs="Arial"/>
          <w:bCs/>
          <w:sz w:val="22"/>
        </w:rPr>
        <w:t xml:space="preserve">, the Agency will pursue </w:t>
      </w:r>
      <w:r w:rsidR="005429B8">
        <w:rPr>
          <w:rFonts w:ascii="Arial" w:hAnsi="Arial" w:cs="Arial"/>
          <w:bCs/>
          <w:sz w:val="22"/>
        </w:rPr>
        <w:t>steps to mitigate potential risk</w:t>
      </w:r>
      <w:r w:rsidRPr="00C34738">
        <w:rPr>
          <w:rFonts w:ascii="Arial" w:hAnsi="Arial" w:cs="Arial"/>
          <w:bCs/>
          <w:sz w:val="22"/>
        </w:rPr>
        <w:t>, as appropriate.</w:t>
      </w:r>
      <w:r>
        <w:rPr>
          <w:rFonts w:ascii="Arial" w:hAnsi="Arial" w:cs="Arial"/>
          <w:bCs/>
          <w:sz w:val="22"/>
        </w:rPr>
        <w:t xml:space="preserve"> </w:t>
      </w:r>
    </w:p>
    <w:p w14:paraId="07DABFA8" w14:textId="77777777" w:rsidR="003D466B" w:rsidRDefault="003D466B" w:rsidP="003D46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1426"/>
        <w:gridCol w:w="5395"/>
      </w:tblGrid>
      <w:tr w:rsidR="003D466B" w:rsidRPr="00C9371C" w14:paraId="0BFFFC2D" w14:textId="77777777" w:rsidTr="00840FC6">
        <w:tc>
          <w:tcPr>
            <w:tcW w:w="2672" w:type="dxa"/>
            <w:shd w:val="clear" w:color="auto" w:fill="E7CFE7" w:themeFill="accent1" w:themeFillTint="33"/>
          </w:tcPr>
          <w:p w14:paraId="6DF74920" w14:textId="77777777" w:rsidR="003D466B" w:rsidRPr="00C9371C" w:rsidRDefault="003D466B" w:rsidP="00840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7F64C5" w14:textId="3D4997E9" w:rsidR="00CA1917" w:rsidRPr="001D0D00" w:rsidRDefault="00C07DE8" w:rsidP="00840FC6">
            <w:pPr>
              <w:rPr>
                <w:rFonts w:ascii="Arial" w:hAnsi="Arial" w:cs="Arial"/>
                <w:b/>
                <w:sz w:val="22"/>
              </w:rPr>
            </w:pPr>
            <w:r w:rsidRPr="001D0D00">
              <w:rPr>
                <w:rFonts w:ascii="Arial" w:hAnsi="Arial" w:cs="Arial"/>
                <w:b/>
                <w:sz w:val="22"/>
              </w:rPr>
              <w:t>Active I</w:t>
            </w:r>
            <w:r w:rsidR="003D466B" w:rsidRPr="001D0D00">
              <w:rPr>
                <w:rFonts w:ascii="Arial" w:hAnsi="Arial" w:cs="Arial"/>
                <w:b/>
                <w:sz w:val="22"/>
              </w:rPr>
              <w:t xml:space="preserve">ngredient (a.i.) </w:t>
            </w:r>
            <w:r w:rsidR="003D466B" w:rsidRPr="001D0D00">
              <w:rPr>
                <w:rFonts w:ascii="Arial" w:hAnsi="Arial" w:cs="Arial"/>
                <w:b/>
                <w:sz w:val="22"/>
              </w:rPr>
              <w:br/>
              <w:t xml:space="preserve">&amp; </w:t>
            </w:r>
            <w:r w:rsidRPr="001D0D00">
              <w:rPr>
                <w:rFonts w:ascii="Arial" w:hAnsi="Arial" w:cs="Arial"/>
                <w:b/>
                <w:sz w:val="22"/>
              </w:rPr>
              <w:t>Docket N</w:t>
            </w:r>
            <w:r w:rsidR="003D466B" w:rsidRPr="001D0D00">
              <w:rPr>
                <w:rFonts w:ascii="Arial" w:hAnsi="Arial" w:cs="Arial"/>
                <w:b/>
                <w:sz w:val="22"/>
              </w:rPr>
              <w:t>umber</w:t>
            </w:r>
          </w:p>
          <w:p w14:paraId="706E8DD1" w14:textId="77777777" w:rsidR="003D466B" w:rsidRPr="00C9371C" w:rsidRDefault="003D466B" w:rsidP="00840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E7CFE7" w:themeFill="accent1" w:themeFillTint="33"/>
          </w:tcPr>
          <w:p w14:paraId="5C437C37" w14:textId="77777777" w:rsidR="003D466B" w:rsidRPr="00C9371C" w:rsidRDefault="003D466B" w:rsidP="00840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13C66" w14:textId="77777777" w:rsidR="003D466B" w:rsidRPr="001D0D00" w:rsidRDefault="003D466B" w:rsidP="00840FC6">
            <w:pPr>
              <w:rPr>
                <w:rFonts w:ascii="Arial" w:hAnsi="Arial" w:cs="Arial"/>
                <w:b/>
                <w:sz w:val="22"/>
              </w:rPr>
            </w:pPr>
            <w:r w:rsidRPr="001D0D00">
              <w:rPr>
                <w:rFonts w:ascii="Arial" w:hAnsi="Arial" w:cs="Arial"/>
                <w:b/>
                <w:sz w:val="22"/>
              </w:rPr>
              <w:t>Planned</w:t>
            </w:r>
          </w:p>
          <w:p w14:paraId="5E76D68A" w14:textId="1FFF7086" w:rsidR="003D466B" w:rsidRPr="00C9371C" w:rsidRDefault="00C07DE8" w:rsidP="00840FC6">
            <w:pPr>
              <w:rPr>
                <w:rFonts w:ascii="Arial" w:hAnsi="Arial" w:cs="Arial"/>
                <w:sz w:val="20"/>
                <w:szCs w:val="20"/>
              </w:rPr>
            </w:pPr>
            <w:r w:rsidRPr="001D0D00">
              <w:rPr>
                <w:rFonts w:ascii="Arial" w:hAnsi="Arial" w:cs="Arial"/>
                <w:b/>
                <w:sz w:val="22"/>
              </w:rPr>
              <w:t>C</w:t>
            </w:r>
            <w:r w:rsidR="003D466B" w:rsidRPr="001D0D00">
              <w:rPr>
                <w:rFonts w:ascii="Arial" w:hAnsi="Arial" w:cs="Arial"/>
                <w:b/>
                <w:sz w:val="22"/>
              </w:rPr>
              <w:t>ompletion</w:t>
            </w:r>
          </w:p>
        </w:tc>
        <w:tc>
          <w:tcPr>
            <w:tcW w:w="5395" w:type="dxa"/>
            <w:shd w:val="clear" w:color="auto" w:fill="E7CFE7" w:themeFill="accent1" w:themeFillTint="33"/>
          </w:tcPr>
          <w:p w14:paraId="101162E6" w14:textId="77777777" w:rsidR="003D466B" w:rsidRPr="00C9371C" w:rsidRDefault="003D466B" w:rsidP="00840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017BF" w14:textId="77777777" w:rsidR="003D466B" w:rsidRDefault="00BA5029" w:rsidP="00840FC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Open Dockets for Comment</w:t>
            </w:r>
          </w:p>
          <w:p w14:paraId="060BC137" w14:textId="5E208452" w:rsidR="005B0E9B" w:rsidRPr="001D0D00" w:rsidRDefault="005B0E9B" w:rsidP="000D4C2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(Closing on </w:t>
            </w:r>
            <w:r w:rsidR="000D4C2A">
              <w:rPr>
                <w:rFonts w:ascii="Arial" w:hAnsi="Arial" w:cs="Arial"/>
                <w:b/>
                <w:sz w:val="22"/>
              </w:rPr>
              <w:t>April 21</w:t>
            </w:r>
            <w:r>
              <w:rPr>
                <w:rFonts w:ascii="Arial" w:hAnsi="Arial" w:cs="Arial"/>
                <w:b/>
                <w:sz w:val="22"/>
              </w:rPr>
              <w:t>, 2018)</w:t>
            </w:r>
          </w:p>
        </w:tc>
      </w:tr>
      <w:tr w:rsidR="003D466B" w:rsidRPr="00C9371C" w14:paraId="47D48FFC" w14:textId="77777777" w:rsidTr="00BA5029">
        <w:tc>
          <w:tcPr>
            <w:tcW w:w="2672" w:type="dxa"/>
          </w:tcPr>
          <w:p w14:paraId="767A0FBA" w14:textId="77777777" w:rsidR="003D466B" w:rsidRDefault="003D466B" w:rsidP="00840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A5A6A" w14:textId="77777777" w:rsidR="003D466B" w:rsidRPr="00CD3A67" w:rsidRDefault="003D466B" w:rsidP="00840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A67">
              <w:rPr>
                <w:rFonts w:ascii="Arial" w:hAnsi="Arial" w:cs="Arial"/>
                <w:b/>
                <w:sz w:val="20"/>
                <w:szCs w:val="20"/>
              </w:rPr>
              <w:t>Imidacloprid</w:t>
            </w:r>
          </w:p>
          <w:p w14:paraId="5F2B7A7C" w14:textId="77777777" w:rsidR="003D466B" w:rsidRPr="00CD3A67" w:rsidRDefault="001A0B21" w:rsidP="00840FC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9" w:tgtFrame="_blank" w:history="1">
              <w:r w:rsidR="003D466B" w:rsidRPr="00CD3A6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EPA-HQ-OPP-2008-0844</w:t>
              </w:r>
            </w:hyperlink>
          </w:p>
          <w:p w14:paraId="2206C90E" w14:textId="77777777" w:rsidR="003D466B" w:rsidRPr="00CD3A67" w:rsidRDefault="003D466B" w:rsidP="00840FC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283" w:type="dxa"/>
          </w:tcPr>
          <w:p w14:paraId="795BE809" w14:textId="77777777" w:rsidR="003D466B" w:rsidRDefault="003D466B" w:rsidP="00840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1AC30" w14:textId="3B691CD9" w:rsidR="003D466B" w:rsidRPr="00C9371C" w:rsidRDefault="002C6390" w:rsidP="00840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5395" w:type="dxa"/>
            <w:vAlign w:val="center"/>
          </w:tcPr>
          <w:p w14:paraId="49402DDE" w14:textId="77777777" w:rsidR="003D466B" w:rsidRDefault="00BA5029" w:rsidP="00BA5029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BA5029">
              <w:rPr>
                <w:rFonts w:ascii="Arial" w:hAnsi="Arial" w:cs="Arial"/>
                <w:color w:val="212121"/>
                <w:sz w:val="20"/>
                <w:szCs w:val="20"/>
              </w:rPr>
              <w:t>Transmittal of the Preliminary Terrestrial Risk Assessment to Support the Registration Review</w:t>
            </w:r>
          </w:p>
          <w:p w14:paraId="5CD6718E" w14:textId="77777777" w:rsidR="005B0E9B" w:rsidRDefault="005B0E9B" w:rsidP="00BA5029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Benefits of Neonicotinoid Insecticide Use in the Pre-Bloom and Bloom Periods of Cotton (All Neonics)</w:t>
            </w:r>
          </w:p>
          <w:p w14:paraId="54852E40" w14:textId="38B7D826" w:rsidR="005B0E9B" w:rsidRPr="005B0E9B" w:rsidRDefault="005B0E9B" w:rsidP="005B0E9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5B0E9B">
              <w:rPr>
                <w:rFonts w:ascii="Arial" w:hAnsi="Arial" w:cs="Arial"/>
                <w:color w:val="212121"/>
                <w:sz w:val="20"/>
                <w:szCs w:val="20"/>
              </w:rPr>
              <w:t xml:space="preserve">Benefits of Neonicotinoid Insecticide Use in the Pre-Bloom and Bloom Periods of </w:t>
            </w:r>
            <w:r w:rsidR="00B94E15" w:rsidRPr="005B0E9B">
              <w:rPr>
                <w:rFonts w:ascii="Arial" w:hAnsi="Arial" w:cs="Arial"/>
                <w:color w:val="212121"/>
                <w:sz w:val="20"/>
                <w:szCs w:val="20"/>
              </w:rPr>
              <w:t>C</w:t>
            </w:r>
            <w:r w:rsidR="00B94E15">
              <w:rPr>
                <w:rFonts w:ascii="Arial" w:hAnsi="Arial" w:cs="Arial"/>
                <w:color w:val="212121"/>
                <w:sz w:val="20"/>
                <w:szCs w:val="20"/>
              </w:rPr>
              <w:t>itrus</w:t>
            </w:r>
            <w:r w:rsidRPr="005B0E9B">
              <w:rPr>
                <w:rFonts w:ascii="Arial" w:hAnsi="Arial" w:cs="Arial"/>
                <w:color w:val="212121"/>
                <w:sz w:val="20"/>
                <w:szCs w:val="20"/>
              </w:rPr>
              <w:t xml:space="preserve"> (All Neonics)</w:t>
            </w:r>
          </w:p>
          <w:p w14:paraId="4D977E49" w14:textId="1DA1A227" w:rsidR="005B0E9B" w:rsidRPr="00BA5029" w:rsidRDefault="005B0E9B" w:rsidP="005B0E9B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</w:tr>
      <w:tr w:rsidR="003D466B" w:rsidRPr="00C9371C" w14:paraId="5BB64D81" w14:textId="77777777" w:rsidTr="00BA5029">
        <w:tc>
          <w:tcPr>
            <w:tcW w:w="2672" w:type="dxa"/>
          </w:tcPr>
          <w:p w14:paraId="40A48BBE" w14:textId="29CF480D" w:rsidR="003D466B" w:rsidRDefault="003D466B" w:rsidP="00840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1BFA9" w14:textId="77777777" w:rsidR="003D466B" w:rsidRPr="00CD3A67" w:rsidRDefault="003D466B" w:rsidP="00840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A67">
              <w:rPr>
                <w:rFonts w:ascii="Arial" w:hAnsi="Arial" w:cs="Arial"/>
                <w:b/>
                <w:sz w:val="20"/>
                <w:szCs w:val="20"/>
              </w:rPr>
              <w:t>Clothianidin</w:t>
            </w:r>
          </w:p>
          <w:p w14:paraId="09725C63" w14:textId="77777777" w:rsidR="003D466B" w:rsidRDefault="001A0B21" w:rsidP="00840FC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0" w:tgtFrame="_blank" w:history="1">
              <w:r w:rsidR="003D466B" w:rsidRPr="00CD3A6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EPA-HQ-OPP-2011-0865</w:t>
              </w:r>
            </w:hyperlink>
          </w:p>
          <w:p w14:paraId="034EF8F7" w14:textId="77777777" w:rsidR="003D466B" w:rsidRDefault="003D466B" w:rsidP="00840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1DBA6" w14:textId="77777777" w:rsidR="003D466B" w:rsidRPr="00CD3A67" w:rsidRDefault="003D466B" w:rsidP="00840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A67">
              <w:rPr>
                <w:rFonts w:ascii="Arial" w:hAnsi="Arial" w:cs="Arial"/>
                <w:b/>
                <w:sz w:val="20"/>
                <w:szCs w:val="20"/>
              </w:rPr>
              <w:t>Thiamethoxam</w:t>
            </w:r>
          </w:p>
          <w:p w14:paraId="4D442076" w14:textId="77777777" w:rsidR="003D466B" w:rsidRPr="00CD3A67" w:rsidRDefault="001A0B21" w:rsidP="00840FC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1" w:tgtFrame="_blank" w:history="1">
              <w:r w:rsidR="003D466B" w:rsidRPr="00CD3A6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EPA-HQ-OPP-2011-0581</w:t>
              </w:r>
            </w:hyperlink>
          </w:p>
          <w:p w14:paraId="499E1F55" w14:textId="77777777" w:rsidR="003D466B" w:rsidRDefault="003D466B" w:rsidP="00840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4CD94" w14:textId="77777777" w:rsidR="003D466B" w:rsidRPr="00CD3A67" w:rsidRDefault="003D466B" w:rsidP="00840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A67">
              <w:rPr>
                <w:rFonts w:ascii="Arial" w:hAnsi="Arial" w:cs="Arial"/>
                <w:b/>
                <w:sz w:val="20"/>
                <w:szCs w:val="20"/>
              </w:rPr>
              <w:t>Dinotefuran</w:t>
            </w:r>
          </w:p>
          <w:p w14:paraId="68EF8E77" w14:textId="77777777" w:rsidR="003D466B" w:rsidRPr="00CD3A67" w:rsidRDefault="001A0B21" w:rsidP="00840FC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2" w:tgtFrame="_blank" w:history="1">
              <w:r w:rsidR="003D466B" w:rsidRPr="00CD3A6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EPA-HQ-OPP-2011-0920</w:t>
              </w:r>
            </w:hyperlink>
          </w:p>
          <w:p w14:paraId="4939540E" w14:textId="77777777" w:rsidR="003D466B" w:rsidRPr="00C9371C" w:rsidRDefault="003D466B" w:rsidP="00840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75A7B59" w14:textId="40C407B9" w:rsidR="003D466B" w:rsidRPr="00C9371C" w:rsidRDefault="003D466B" w:rsidP="00840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2C6390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5395" w:type="dxa"/>
            <w:vAlign w:val="center"/>
          </w:tcPr>
          <w:p w14:paraId="4E10476D" w14:textId="6C27855E" w:rsidR="00BA5029" w:rsidRPr="00BA5029" w:rsidRDefault="00BA5029" w:rsidP="00BA5029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BA5029">
              <w:rPr>
                <w:rFonts w:ascii="Arial" w:hAnsi="Arial" w:cs="Arial"/>
                <w:color w:val="212121"/>
                <w:sz w:val="20"/>
                <w:szCs w:val="20"/>
              </w:rPr>
              <w:t>Occupational and Residential Exposure Assessment for Registration Review.</w:t>
            </w:r>
          </w:p>
          <w:p w14:paraId="61910B98" w14:textId="77777777" w:rsidR="00BA5029" w:rsidRPr="00BA5029" w:rsidRDefault="00BA5029" w:rsidP="00BA5029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BA5029">
              <w:rPr>
                <w:rFonts w:ascii="Arial" w:hAnsi="Arial" w:cs="Arial"/>
                <w:color w:val="212121"/>
                <w:sz w:val="20"/>
                <w:szCs w:val="20"/>
              </w:rPr>
              <w:t xml:space="preserve">Drinking Water Exposure Assessment for Registration Review of All Registered Uses </w:t>
            </w:r>
          </w:p>
          <w:p w14:paraId="1476AEBF" w14:textId="77777777" w:rsidR="00BA5029" w:rsidRPr="00BA5029" w:rsidRDefault="00BA5029" w:rsidP="00BA5029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BA5029">
              <w:rPr>
                <w:rFonts w:ascii="Arial" w:hAnsi="Arial" w:cs="Arial"/>
                <w:color w:val="212121"/>
                <w:sz w:val="20"/>
                <w:szCs w:val="20"/>
              </w:rPr>
              <w:t>Draft Human Health Risk Assessment in Support of Registration Review.</w:t>
            </w:r>
          </w:p>
          <w:p w14:paraId="281A97C6" w14:textId="77777777" w:rsidR="00BA5029" w:rsidRPr="00BA5029" w:rsidRDefault="00BA5029" w:rsidP="00BA5029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BA5029">
              <w:rPr>
                <w:rFonts w:ascii="Arial" w:hAnsi="Arial" w:cs="Arial"/>
                <w:color w:val="212121"/>
                <w:sz w:val="20"/>
                <w:szCs w:val="20"/>
              </w:rPr>
              <w:t>Acute and Chronic Aggregate Dietary (Food and Drinking Water) Exposure and Risk Assessments for Registration Review</w:t>
            </w:r>
          </w:p>
          <w:p w14:paraId="253ACC24" w14:textId="1F3D5E39" w:rsidR="003D466B" w:rsidRPr="00BA5029" w:rsidRDefault="00BA5029" w:rsidP="00BA5029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BA5029">
              <w:rPr>
                <w:rFonts w:ascii="Arial" w:hAnsi="Arial" w:cs="Arial"/>
                <w:color w:val="212121"/>
                <w:sz w:val="20"/>
                <w:szCs w:val="20"/>
              </w:rPr>
              <w:t>Transmittal of the Preliminary Aquatic and Non-Pollinator Terrestrial Risk Assessment to Support Registration Review</w:t>
            </w:r>
          </w:p>
        </w:tc>
      </w:tr>
    </w:tbl>
    <w:p w14:paraId="3609845A" w14:textId="77777777" w:rsidR="00CA1917" w:rsidRDefault="00CA1917" w:rsidP="003D466B">
      <w:pPr>
        <w:rPr>
          <w:rFonts w:ascii="Arial" w:hAnsi="Arial" w:cs="Arial"/>
          <w:bCs/>
          <w:sz w:val="22"/>
          <w:szCs w:val="20"/>
        </w:rPr>
      </w:pPr>
    </w:p>
    <w:p w14:paraId="3D19860C" w14:textId="77777777" w:rsidR="003D466B" w:rsidRDefault="003D466B" w:rsidP="003D466B">
      <w:pPr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lastRenderedPageBreak/>
        <w:t>Registration review includes the</w:t>
      </w:r>
      <w:r w:rsidRPr="007D12FA">
        <w:rPr>
          <w:rFonts w:ascii="Arial" w:hAnsi="Arial" w:cs="Arial"/>
          <w:bCs/>
          <w:sz w:val="22"/>
          <w:szCs w:val="20"/>
        </w:rPr>
        <w:t xml:space="preserve"> follo</w:t>
      </w:r>
      <w:r>
        <w:rPr>
          <w:rFonts w:ascii="Arial" w:hAnsi="Arial" w:cs="Arial"/>
          <w:bCs/>
          <w:sz w:val="22"/>
          <w:szCs w:val="20"/>
        </w:rPr>
        <w:t>wing neonic brands:</w:t>
      </w:r>
    </w:p>
    <w:p w14:paraId="17383E3F" w14:textId="4EAC1405" w:rsidR="003D466B" w:rsidRPr="006F24AF" w:rsidRDefault="003D466B" w:rsidP="003D466B">
      <w:pPr>
        <w:numPr>
          <w:ilvl w:val="0"/>
          <w:numId w:val="13"/>
        </w:numPr>
        <w:rPr>
          <w:rFonts w:ascii="Arial" w:hAnsi="Arial" w:cs="Arial"/>
          <w:bCs/>
          <w:i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 xml:space="preserve">Imidacloprid – </w:t>
      </w:r>
      <w:r w:rsidR="000B64B1">
        <w:rPr>
          <w:rFonts w:ascii="Arial" w:hAnsi="Arial" w:cs="Arial"/>
          <w:bCs/>
          <w:sz w:val="22"/>
          <w:szCs w:val="20"/>
        </w:rPr>
        <w:t xml:space="preserve">Bayer’s </w:t>
      </w:r>
      <w:r w:rsidRPr="00C376FB">
        <w:rPr>
          <w:rFonts w:ascii="Arial" w:hAnsi="Arial" w:cs="Arial"/>
          <w:b/>
          <w:bCs/>
          <w:i/>
          <w:sz w:val="22"/>
          <w:szCs w:val="20"/>
        </w:rPr>
        <w:t>Admire® Pro</w:t>
      </w:r>
      <w:r>
        <w:rPr>
          <w:rFonts w:ascii="Arial" w:hAnsi="Arial" w:cs="Arial"/>
          <w:bCs/>
          <w:i/>
          <w:sz w:val="22"/>
          <w:szCs w:val="20"/>
        </w:rPr>
        <w:t xml:space="preserve">, </w:t>
      </w:r>
      <w:r w:rsidRPr="00C376FB">
        <w:rPr>
          <w:rFonts w:ascii="Arial" w:hAnsi="Arial" w:cs="Arial"/>
          <w:b/>
          <w:bCs/>
          <w:i/>
          <w:sz w:val="22"/>
          <w:szCs w:val="20"/>
        </w:rPr>
        <w:t>Gaucho®</w:t>
      </w:r>
      <w:r w:rsidRPr="006F24AF">
        <w:rPr>
          <w:rFonts w:ascii="Arial" w:hAnsi="Arial" w:cs="Arial"/>
          <w:bCs/>
          <w:i/>
          <w:sz w:val="22"/>
          <w:szCs w:val="20"/>
        </w:rPr>
        <w:t xml:space="preserve"> </w:t>
      </w:r>
      <w:r w:rsidRPr="006F64F5">
        <w:rPr>
          <w:rFonts w:ascii="Arial" w:hAnsi="Arial" w:cs="Arial"/>
          <w:b/>
          <w:bCs/>
          <w:i/>
          <w:sz w:val="22"/>
          <w:szCs w:val="20"/>
        </w:rPr>
        <w:t>(600, XT)</w:t>
      </w:r>
      <w:r>
        <w:rPr>
          <w:rFonts w:ascii="Arial" w:hAnsi="Arial" w:cs="Arial"/>
          <w:bCs/>
          <w:i/>
          <w:sz w:val="22"/>
          <w:szCs w:val="20"/>
        </w:rPr>
        <w:t xml:space="preserve">, </w:t>
      </w:r>
      <w:r w:rsidR="00D1144D">
        <w:rPr>
          <w:rFonts w:ascii="Arial" w:hAnsi="Arial" w:cs="Arial"/>
          <w:b/>
          <w:bCs/>
          <w:i/>
          <w:sz w:val="22"/>
          <w:szCs w:val="20"/>
        </w:rPr>
        <w:t>Leverage</w:t>
      </w:r>
      <w:r w:rsidRPr="00C376FB">
        <w:rPr>
          <w:rFonts w:ascii="Arial" w:hAnsi="Arial" w:cs="Arial"/>
          <w:b/>
          <w:bCs/>
          <w:i/>
          <w:sz w:val="22"/>
          <w:szCs w:val="20"/>
        </w:rPr>
        <w:t>360</w:t>
      </w:r>
      <w:r>
        <w:rPr>
          <w:rFonts w:ascii="Arial" w:hAnsi="Arial" w:cs="Arial"/>
          <w:bCs/>
          <w:i/>
          <w:sz w:val="22"/>
          <w:szCs w:val="20"/>
        </w:rPr>
        <w:t xml:space="preserve">, </w:t>
      </w:r>
      <w:r w:rsidRPr="00C376FB">
        <w:rPr>
          <w:rFonts w:ascii="Arial" w:hAnsi="Arial" w:cs="Arial"/>
          <w:b/>
          <w:bCs/>
          <w:i/>
          <w:sz w:val="22"/>
          <w:szCs w:val="20"/>
        </w:rPr>
        <w:t>Velum® Total</w:t>
      </w:r>
      <w:r w:rsidR="000B64B1">
        <w:rPr>
          <w:rFonts w:ascii="Arial" w:hAnsi="Arial" w:cs="Arial"/>
          <w:b/>
          <w:bCs/>
          <w:i/>
          <w:sz w:val="22"/>
          <w:szCs w:val="20"/>
        </w:rPr>
        <w:t>.</w:t>
      </w:r>
    </w:p>
    <w:p w14:paraId="63B8C017" w14:textId="5B687F17" w:rsidR="003D466B" w:rsidRPr="00C376FB" w:rsidRDefault="003D466B" w:rsidP="003D466B">
      <w:pPr>
        <w:numPr>
          <w:ilvl w:val="0"/>
          <w:numId w:val="13"/>
        </w:numPr>
        <w:rPr>
          <w:rFonts w:ascii="Arial" w:hAnsi="Arial" w:cs="Arial"/>
          <w:bCs/>
          <w:i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 xml:space="preserve">Clothianidin – </w:t>
      </w:r>
      <w:r w:rsidR="000B64B1">
        <w:rPr>
          <w:rFonts w:ascii="Arial" w:hAnsi="Arial" w:cs="Arial"/>
          <w:bCs/>
          <w:sz w:val="22"/>
          <w:szCs w:val="20"/>
        </w:rPr>
        <w:t xml:space="preserve">Bayer’s </w:t>
      </w:r>
      <w:r w:rsidRPr="00C376FB">
        <w:rPr>
          <w:rFonts w:ascii="Arial" w:hAnsi="Arial" w:cs="Arial"/>
          <w:b/>
          <w:bCs/>
          <w:i/>
          <w:sz w:val="22"/>
          <w:szCs w:val="20"/>
        </w:rPr>
        <w:t>Poncho®</w:t>
      </w:r>
      <w:r w:rsidRPr="006F24AF">
        <w:rPr>
          <w:rFonts w:ascii="Arial" w:hAnsi="Arial" w:cs="Arial"/>
          <w:bCs/>
          <w:i/>
          <w:sz w:val="22"/>
          <w:szCs w:val="20"/>
        </w:rPr>
        <w:t xml:space="preserve">, </w:t>
      </w:r>
      <w:r w:rsidRPr="00C376FB">
        <w:rPr>
          <w:rFonts w:ascii="Arial" w:hAnsi="Arial" w:cs="Arial"/>
          <w:b/>
          <w:bCs/>
          <w:i/>
          <w:sz w:val="22"/>
          <w:szCs w:val="20"/>
        </w:rPr>
        <w:t>Poncho®/VOTiVO</w:t>
      </w:r>
      <w:r w:rsidRPr="006F24AF">
        <w:rPr>
          <w:rFonts w:ascii="Arial" w:hAnsi="Arial" w:cs="Arial"/>
          <w:bCs/>
          <w:i/>
          <w:sz w:val="22"/>
          <w:szCs w:val="20"/>
        </w:rPr>
        <w:t xml:space="preserve">, </w:t>
      </w:r>
      <w:r w:rsidRPr="00C376FB">
        <w:rPr>
          <w:rFonts w:ascii="Arial" w:hAnsi="Arial" w:cs="Arial"/>
          <w:b/>
          <w:bCs/>
          <w:i/>
          <w:sz w:val="22"/>
          <w:szCs w:val="20"/>
        </w:rPr>
        <w:t>Poncho® Beta</w:t>
      </w:r>
      <w:r>
        <w:rPr>
          <w:rFonts w:ascii="Arial" w:hAnsi="Arial" w:cs="Arial"/>
          <w:bCs/>
          <w:i/>
          <w:sz w:val="22"/>
          <w:szCs w:val="20"/>
        </w:rPr>
        <w:t xml:space="preserve">, </w:t>
      </w:r>
      <w:r w:rsidRPr="00C376FB">
        <w:rPr>
          <w:rFonts w:ascii="Arial" w:hAnsi="Arial" w:cs="Arial"/>
          <w:b/>
          <w:bCs/>
          <w:i/>
          <w:sz w:val="22"/>
          <w:szCs w:val="20"/>
        </w:rPr>
        <w:t>Prosper®</w:t>
      </w:r>
      <w:r>
        <w:rPr>
          <w:rFonts w:ascii="Arial" w:hAnsi="Arial" w:cs="Arial"/>
          <w:b/>
          <w:bCs/>
          <w:i/>
          <w:sz w:val="22"/>
          <w:szCs w:val="20"/>
        </w:rPr>
        <w:t xml:space="preserve">  EverGol</w:t>
      </w:r>
      <w:r w:rsidRPr="00C376FB">
        <w:rPr>
          <w:rFonts w:ascii="Arial" w:hAnsi="Arial" w:cs="Arial"/>
          <w:b/>
          <w:bCs/>
          <w:i/>
          <w:sz w:val="22"/>
          <w:szCs w:val="20"/>
        </w:rPr>
        <w:t>®</w:t>
      </w:r>
      <w:r>
        <w:rPr>
          <w:rFonts w:ascii="Arial" w:hAnsi="Arial" w:cs="Arial"/>
          <w:bCs/>
          <w:i/>
          <w:sz w:val="22"/>
          <w:szCs w:val="20"/>
        </w:rPr>
        <w:t xml:space="preserve">, </w:t>
      </w:r>
      <w:r>
        <w:rPr>
          <w:rFonts w:ascii="Arial" w:hAnsi="Arial" w:cs="Arial"/>
          <w:b/>
          <w:bCs/>
          <w:i/>
          <w:sz w:val="22"/>
          <w:szCs w:val="20"/>
        </w:rPr>
        <w:t>Sepres</w:t>
      </w:r>
      <w:r w:rsidRPr="00C376FB">
        <w:rPr>
          <w:rFonts w:ascii="Arial" w:hAnsi="Arial" w:cs="Arial"/>
          <w:b/>
          <w:bCs/>
          <w:i/>
          <w:sz w:val="22"/>
          <w:szCs w:val="20"/>
        </w:rPr>
        <w:t>to 75W</w:t>
      </w:r>
      <w:r>
        <w:rPr>
          <w:rFonts w:ascii="Arial" w:hAnsi="Arial" w:cs="Arial"/>
          <w:b/>
          <w:bCs/>
          <w:i/>
          <w:sz w:val="22"/>
          <w:szCs w:val="20"/>
        </w:rPr>
        <w:t>S</w:t>
      </w:r>
      <w:r>
        <w:rPr>
          <w:rFonts w:ascii="Arial" w:hAnsi="Arial" w:cs="Arial"/>
          <w:bCs/>
          <w:i/>
          <w:sz w:val="22"/>
          <w:szCs w:val="20"/>
        </w:rPr>
        <w:t xml:space="preserve">, </w:t>
      </w:r>
      <w:r w:rsidRPr="00C376FB">
        <w:rPr>
          <w:rFonts w:ascii="Arial" w:hAnsi="Arial" w:cs="Arial"/>
          <w:b/>
          <w:bCs/>
          <w:i/>
          <w:sz w:val="22"/>
          <w:szCs w:val="20"/>
        </w:rPr>
        <w:t>Emesto Quantum</w:t>
      </w:r>
      <w:r w:rsidR="000B64B1">
        <w:rPr>
          <w:rFonts w:ascii="Arial" w:hAnsi="Arial" w:cs="Arial"/>
          <w:bCs/>
          <w:sz w:val="22"/>
          <w:szCs w:val="20"/>
        </w:rPr>
        <w:t>. Valent’s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C376FB">
        <w:rPr>
          <w:rFonts w:ascii="Arial" w:hAnsi="Arial" w:cs="Arial"/>
          <w:b/>
          <w:bCs/>
          <w:i/>
          <w:sz w:val="22"/>
          <w:szCs w:val="20"/>
        </w:rPr>
        <w:t>NipsIt INSIDE®</w:t>
      </w:r>
      <w:r w:rsidRPr="00C376FB">
        <w:rPr>
          <w:rFonts w:ascii="Arial" w:hAnsi="Arial" w:cs="Arial"/>
          <w:bCs/>
          <w:i/>
          <w:sz w:val="22"/>
          <w:szCs w:val="20"/>
        </w:rPr>
        <w:t xml:space="preserve">, </w:t>
      </w:r>
      <w:r w:rsidRPr="00C376FB">
        <w:rPr>
          <w:rFonts w:ascii="Arial" w:hAnsi="Arial" w:cs="Arial"/>
          <w:b/>
          <w:bCs/>
          <w:i/>
          <w:sz w:val="22"/>
          <w:szCs w:val="20"/>
        </w:rPr>
        <w:t>NipsIt® Suite</w:t>
      </w:r>
      <w:r w:rsidRPr="00C376FB">
        <w:rPr>
          <w:rFonts w:ascii="Arial" w:hAnsi="Arial" w:cs="Arial"/>
          <w:bCs/>
          <w:i/>
          <w:sz w:val="22"/>
          <w:szCs w:val="20"/>
        </w:rPr>
        <w:t xml:space="preserve">, </w:t>
      </w:r>
      <w:r w:rsidRPr="00C376FB">
        <w:rPr>
          <w:rFonts w:ascii="Arial" w:hAnsi="Arial" w:cs="Arial"/>
          <w:b/>
          <w:bCs/>
          <w:i/>
          <w:sz w:val="22"/>
          <w:szCs w:val="20"/>
        </w:rPr>
        <w:t>INOVATE®</w:t>
      </w:r>
      <w:r w:rsidRPr="00C376FB">
        <w:rPr>
          <w:rFonts w:ascii="Arial" w:hAnsi="Arial" w:cs="Arial"/>
          <w:bCs/>
          <w:i/>
          <w:sz w:val="22"/>
          <w:szCs w:val="20"/>
        </w:rPr>
        <w:t xml:space="preserve">, </w:t>
      </w:r>
      <w:r w:rsidRPr="00C376FB">
        <w:rPr>
          <w:rFonts w:ascii="Arial" w:hAnsi="Arial" w:cs="Arial"/>
          <w:b/>
          <w:bCs/>
          <w:i/>
          <w:sz w:val="22"/>
          <w:szCs w:val="20"/>
        </w:rPr>
        <w:t>INTEGO®</w:t>
      </w:r>
      <w:r w:rsidRPr="00C376FB">
        <w:rPr>
          <w:rFonts w:ascii="Arial" w:hAnsi="Arial" w:cs="Arial"/>
          <w:bCs/>
          <w:i/>
          <w:sz w:val="22"/>
          <w:szCs w:val="20"/>
        </w:rPr>
        <w:t xml:space="preserve">, </w:t>
      </w:r>
      <w:r w:rsidRPr="00C376FB">
        <w:rPr>
          <w:rFonts w:ascii="Arial" w:hAnsi="Arial" w:cs="Arial"/>
          <w:b/>
          <w:bCs/>
          <w:i/>
          <w:sz w:val="22"/>
          <w:szCs w:val="20"/>
        </w:rPr>
        <w:t>Belay® Insecticide</w:t>
      </w:r>
      <w:r w:rsidR="000B64B1">
        <w:rPr>
          <w:rFonts w:ascii="Arial" w:hAnsi="Arial" w:cs="Arial"/>
          <w:b/>
          <w:bCs/>
          <w:i/>
          <w:sz w:val="22"/>
          <w:szCs w:val="20"/>
        </w:rPr>
        <w:t>.</w:t>
      </w:r>
    </w:p>
    <w:p w14:paraId="41AE1DF4" w14:textId="71AF4A24" w:rsidR="003D466B" w:rsidRPr="006F24AF" w:rsidRDefault="003D466B" w:rsidP="003D466B">
      <w:pPr>
        <w:numPr>
          <w:ilvl w:val="0"/>
          <w:numId w:val="13"/>
        </w:numPr>
        <w:rPr>
          <w:rFonts w:ascii="Arial" w:hAnsi="Arial" w:cs="Arial"/>
          <w:bCs/>
          <w:i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Thiamethoxam –</w:t>
      </w:r>
      <w:r w:rsidR="000B64B1">
        <w:rPr>
          <w:rFonts w:ascii="Arial" w:hAnsi="Arial" w:cs="Arial"/>
          <w:bCs/>
          <w:sz w:val="22"/>
          <w:szCs w:val="20"/>
        </w:rPr>
        <w:t xml:space="preserve"> Syngenta’s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C376FB">
        <w:rPr>
          <w:rFonts w:ascii="Arial" w:hAnsi="Arial" w:cs="Arial"/>
          <w:b/>
          <w:bCs/>
          <w:sz w:val="22"/>
          <w:szCs w:val="20"/>
        </w:rPr>
        <w:t>A</w:t>
      </w:r>
      <w:r w:rsidRPr="00C376FB">
        <w:rPr>
          <w:rFonts w:ascii="Arial" w:hAnsi="Arial" w:cs="Arial"/>
          <w:b/>
          <w:bCs/>
          <w:i/>
          <w:sz w:val="22"/>
          <w:szCs w:val="20"/>
        </w:rPr>
        <w:t>ctara®</w:t>
      </w:r>
      <w:r w:rsidRPr="006F24AF">
        <w:rPr>
          <w:rFonts w:ascii="Arial" w:hAnsi="Arial" w:cs="Arial"/>
          <w:bCs/>
          <w:i/>
          <w:sz w:val="22"/>
          <w:szCs w:val="20"/>
        </w:rPr>
        <w:t xml:space="preserve">, </w:t>
      </w:r>
      <w:r w:rsidRPr="00C376FB">
        <w:rPr>
          <w:rFonts w:ascii="Arial" w:hAnsi="Arial" w:cs="Arial"/>
          <w:b/>
          <w:bCs/>
          <w:i/>
          <w:sz w:val="22"/>
          <w:szCs w:val="20"/>
        </w:rPr>
        <w:t>Platinum®</w:t>
      </w:r>
      <w:r>
        <w:rPr>
          <w:rFonts w:ascii="Arial" w:hAnsi="Arial" w:cs="Arial"/>
          <w:bCs/>
          <w:i/>
          <w:sz w:val="22"/>
          <w:szCs w:val="20"/>
        </w:rPr>
        <w:t xml:space="preserve">, </w:t>
      </w:r>
      <w:r w:rsidRPr="00C376FB">
        <w:rPr>
          <w:rFonts w:ascii="Arial" w:hAnsi="Arial" w:cs="Arial"/>
          <w:b/>
          <w:bCs/>
          <w:i/>
          <w:sz w:val="22"/>
          <w:szCs w:val="20"/>
        </w:rPr>
        <w:t>Cruiser® FS</w:t>
      </w:r>
      <w:r>
        <w:rPr>
          <w:rFonts w:ascii="Arial" w:hAnsi="Arial" w:cs="Arial"/>
          <w:bCs/>
          <w:i/>
          <w:sz w:val="22"/>
          <w:szCs w:val="20"/>
        </w:rPr>
        <w:t xml:space="preserve">, </w:t>
      </w:r>
      <w:r w:rsidRPr="00C376FB">
        <w:rPr>
          <w:rFonts w:ascii="Arial" w:hAnsi="Arial" w:cs="Arial"/>
          <w:b/>
          <w:bCs/>
          <w:i/>
          <w:sz w:val="22"/>
          <w:szCs w:val="20"/>
        </w:rPr>
        <w:t>CruiserMaxx®</w:t>
      </w:r>
      <w:r w:rsidR="000B64B1">
        <w:rPr>
          <w:rFonts w:ascii="Arial" w:hAnsi="Arial" w:cs="Arial"/>
          <w:bCs/>
          <w:i/>
          <w:sz w:val="22"/>
          <w:szCs w:val="20"/>
        </w:rPr>
        <w:t>.</w:t>
      </w:r>
    </w:p>
    <w:p w14:paraId="4FBFED2F" w14:textId="57EFB2EE" w:rsidR="003D466B" w:rsidRPr="007D12FA" w:rsidRDefault="003D466B" w:rsidP="003D466B">
      <w:pPr>
        <w:numPr>
          <w:ilvl w:val="0"/>
          <w:numId w:val="13"/>
        </w:numPr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 xml:space="preserve">Dinotefuran – </w:t>
      </w:r>
      <w:r w:rsidR="000B64B1">
        <w:rPr>
          <w:rFonts w:ascii="Arial" w:hAnsi="Arial" w:cs="Arial"/>
          <w:bCs/>
          <w:sz w:val="22"/>
          <w:szCs w:val="20"/>
        </w:rPr>
        <w:t xml:space="preserve">Valent’s </w:t>
      </w:r>
      <w:r w:rsidRPr="00C376FB">
        <w:rPr>
          <w:rFonts w:ascii="Arial" w:hAnsi="Arial" w:cs="Arial"/>
          <w:b/>
          <w:bCs/>
          <w:sz w:val="22"/>
          <w:szCs w:val="20"/>
        </w:rPr>
        <w:t>Venom® Insecticide</w:t>
      </w:r>
      <w:r w:rsidRPr="00C376FB">
        <w:rPr>
          <w:rFonts w:ascii="Arial" w:hAnsi="Arial" w:cs="Arial"/>
          <w:bCs/>
          <w:sz w:val="22"/>
          <w:szCs w:val="20"/>
        </w:rPr>
        <w:t>.</w:t>
      </w:r>
    </w:p>
    <w:p w14:paraId="10FB1239" w14:textId="77777777" w:rsidR="003D466B" w:rsidRPr="007D12FA" w:rsidRDefault="003D466B" w:rsidP="003D466B">
      <w:pPr>
        <w:rPr>
          <w:rFonts w:ascii="Arial" w:hAnsi="Arial" w:cs="Arial"/>
          <w:bCs/>
          <w:sz w:val="22"/>
          <w:szCs w:val="20"/>
        </w:rPr>
      </w:pPr>
    </w:p>
    <w:p w14:paraId="0AF6C8A3" w14:textId="08E71830" w:rsidR="003D466B" w:rsidRDefault="003D466B" w:rsidP="003D466B">
      <w:pPr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 xml:space="preserve">As part of this multistep process, EPA is now seeking </w:t>
      </w:r>
      <w:r w:rsidRPr="007D12FA">
        <w:rPr>
          <w:rFonts w:ascii="Arial" w:hAnsi="Arial" w:cs="Arial"/>
          <w:bCs/>
          <w:sz w:val="22"/>
          <w:szCs w:val="20"/>
        </w:rPr>
        <w:t>public comment</w:t>
      </w:r>
      <w:r>
        <w:rPr>
          <w:rFonts w:ascii="Arial" w:hAnsi="Arial" w:cs="Arial"/>
          <w:bCs/>
          <w:sz w:val="22"/>
          <w:szCs w:val="20"/>
        </w:rPr>
        <w:t xml:space="preserve">s on the current neonicotinoid risk assessments, highlighted in the chart above and posted on the individual a.i. dockets. </w:t>
      </w:r>
      <w:r w:rsidRPr="00F600EE">
        <w:rPr>
          <w:rFonts w:ascii="Arial" w:hAnsi="Arial" w:cs="Arial"/>
          <w:b/>
          <w:bCs/>
          <w:sz w:val="22"/>
          <w:szCs w:val="20"/>
        </w:rPr>
        <w:t>The docket</w:t>
      </w:r>
      <w:r>
        <w:rPr>
          <w:rFonts w:ascii="Arial" w:hAnsi="Arial" w:cs="Arial"/>
          <w:b/>
          <w:bCs/>
          <w:sz w:val="22"/>
          <w:szCs w:val="20"/>
        </w:rPr>
        <w:t>s</w:t>
      </w:r>
      <w:r w:rsidRPr="00F600EE">
        <w:rPr>
          <w:rFonts w:ascii="Arial" w:hAnsi="Arial" w:cs="Arial"/>
          <w:b/>
          <w:bCs/>
          <w:sz w:val="22"/>
          <w:szCs w:val="20"/>
        </w:rPr>
        <w:t xml:space="preserve"> wil</w:t>
      </w:r>
      <w:r>
        <w:rPr>
          <w:rFonts w:ascii="Arial" w:hAnsi="Arial" w:cs="Arial"/>
          <w:b/>
          <w:bCs/>
          <w:sz w:val="22"/>
          <w:szCs w:val="20"/>
        </w:rPr>
        <w:t>l</w:t>
      </w:r>
      <w:r w:rsidRPr="00F600EE">
        <w:rPr>
          <w:rFonts w:ascii="Arial" w:hAnsi="Arial" w:cs="Arial"/>
          <w:b/>
          <w:bCs/>
          <w:sz w:val="22"/>
          <w:szCs w:val="20"/>
        </w:rPr>
        <w:t xml:space="preserve"> remain open through </w:t>
      </w:r>
      <w:r w:rsidR="00E82743">
        <w:rPr>
          <w:rFonts w:ascii="Arial" w:hAnsi="Arial" w:cs="Arial"/>
          <w:b/>
          <w:bCs/>
          <w:sz w:val="22"/>
          <w:szCs w:val="20"/>
        </w:rPr>
        <w:t>April 21</w:t>
      </w:r>
      <w:r w:rsidR="00EB1C61">
        <w:rPr>
          <w:rFonts w:ascii="Arial" w:hAnsi="Arial" w:cs="Arial"/>
          <w:b/>
          <w:bCs/>
          <w:sz w:val="22"/>
          <w:szCs w:val="20"/>
        </w:rPr>
        <w:t>, 2018</w:t>
      </w:r>
      <w:r w:rsidRPr="00F600EE">
        <w:rPr>
          <w:rFonts w:ascii="Arial" w:hAnsi="Arial" w:cs="Arial"/>
          <w:b/>
          <w:bCs/>
          <w:sz w:val="22"/>
          <w:szCs w:val="20"/>
        </w:rPr>
        <w:t xml:space="preserve">. </w:t>
      </w:r>
    </w:p>
    <w:p w14:paraId="387BC3F9" w14:textId="77777777" w:rsidR="003D466B" w:rsidRDefault="003D466B" w:rsidP="003D466B">
      <w:pPr>
        <w:rPr>
          <w:rFonts w:ascii="Arial" w:hAnsi="Arial" w:cs="Arial"/>
          <w:bCs/>
          <w:sz w:val="22"/>
          <w:szCs w:val="20"/>
        </w:rPr>
      </w:pPr>
    </w:p>
    <w:p w14:paraId="7F19E81E" w14:textId="77777777" w:rsidR="003D466B" w:rsidRPr="004E3184" w:rsidRDefault="003D466B" w:rsidP="003D466B">
      <w:pPr>
        <w:rPr>
          <w:rFonts w:ascii="Arial" w:hAnsi="Arial" w:cs="Arial"/>
          <w:b/>
          <w:bCs/>
          <w:sz w:val="24"/>
          <w:szCs w:val="24"/>
        </w:rPr>
      </w:pPr>
      <w:r w:rsidRPr="004E3184">
        <w:rPr>
          <w:rFonts w:ascii="Arial" w:hAnsi="Arial" w:cs="Arial"/>
          <w:b/>
          <w:bCs/>
          <w:sz w:val="24"/>
          <w:szCs w:val="24"/>
        </w:rPr>
        <w:t>Your role</w:t>
      </w:r>
    </w:p>
    <w:p w14:paraId="1FEABDBD" w14:textId="101C1730" w:rsidR="003D466B" w:rsidRPr="007D12FA" w:rsidRDefault="003D466B" w:rsidP="003D466B">
      <w:pPr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Because EPA receives many comments from environmental groups about restricting neonics, it’s important for the Agency to hear from people who actually use these products. A</w:t>
      </w:r>
      <w:r w:rsidRPr="007D12FA">
        <w:rPr>
          <w:rFonts w:ascii="Arial" w:hAnsi="Arial" w:cs="Arial"/>
          <w:bCs/>
          <w:sz w:val="22"/>
          <w:szCs w:val="20"/>
        </w:rPr>
        <w:t>s</w:t>
      </w:r>
      <w:r w:rsidR="00CA1917">
        <w:rPr>
          <w:rFonts w:ascii="Arial" w:hAnsi="Arial" w:cs="Arial"/>
          <w:bCs/>
          <w:sz w:val="22"/>
          <w:szCs w:val="20"/>
        </w:rPr>
        <w:t xml:space="preserve"> an</w:t>
      </w:r>
      <w:r w:rsidRPr="007D12FA">
        <w:rPr>
          <w:rFonts w:ascii="Arial" w:hAnsi="Arial" w:cs="Arial"/>
          <w:bCs/>
          <w:sz w:val="22"/>
          <w:szCs w:val="20"/>
        </w:rPr>
        <w:t xml:space="preserve"> </w:t>
      </w:r>
      <w:r w:rsidR="00CA1917">
        <w:rPr>
          <w:rFonts w:ascii="Arial" w:hAnsi="Arial" w:cs="Arial"/>
          <w:bCs/>
          <w:sz w:val="22"/>
          <w:szCs w:val="20"/>
        </w:rPr>
        <w:t>association leader, consultant and/or grower</w:t>
      </w:r>
      <w:r>
        <w:rPr>
          <w:rFonts w:ascii="Arial" w:hAnsi="Arial" w:cs="Arial"/>
          <w:bCs/>
          <w:sz w:val="22"/>
          <w:szCs w:val="20"/>
        </w:rPr>
        <w:t>, you have valuable information that will</w:t>
      </w:r>
      <w:r w:rsidRPr="007D12FA">
        <w:rPr>
          <w:rFonts w:ascii="Arial" w:hAnsi="Arial" w:cs="Arial"/>
          <w:bCs/>
          <w:sz w:val="22"/>
          <w:szCs w:val="20"/>
        </w:rPr>
        <w:t xml:space="preserve"> help EPA understand </w:t>
      </w:r>
      <w:r w:rsidR="00CA1917">
        <w:rPr>
          <w:rFonts w:ascii="Arial" w:hAnsi="Arial" w:cs="Arial"/>
          <w:bCs/>
          <w:sz w:val="22"/>
          <w:szCs w:val="20"/>
        </w:rPr>
        <w:t xml:space="preserve">the </w:t>
      </w:r>
      <w:r>
        <w:rPr>
          <w:rFonts w:ascii="Arial" w:hAnsi="Arial" w:cs="Arial"/>
          <w:bCs/>
          <w:sz w:val="22"/>
          <w:szCs w:val="20"/>
        </w:rPr>
        <w:t>importance</w:t>
      </w:r>
      <w:r w:rsidR="00CA1917">
        <w:rPr>
          <w:rFonts w:ascii="Arial" w:hAnsi="Arial" w:cs="Arial"/>
          <w:bCs/>
          <w:sz w:val="22"/>
          <w:szCs w:val="20"/>
        </w:rPr>
        <w:t xml:space="preserve"> of neonicotinoids</w:t>
      </w:r>
      <w:r>
        <w:rPr>
          <w:rFonts w:ascii="Arial" w:hAnsi="Arial" w:cs="Arial"/>
          <w:bCs/>
          <w:sz w:val="22"/>
          <w:szCs w:val="20"/>
        </w:rPr>
        <w:t xml:space="preserve"> to your operation</w:t>
      </w:r>
      <w:r w:rsidR="00CA1917">
        <w:rPr>
          <w:rFonts w:ascii="Arial" w:hAnsi="Arial" w:cs="Arial"/>
          <w:bCs/>
          <w:sz w:val="22"/>
          <w:szCs w:val="20"/>
        </w:rPr>
        <w:t>.</w:t>
      </w:r>
      <w:r w:rsidRPr="007D12FA">
        <w:rPr>
          <w:rFonts w:ascii="Arial" w:hAnsi="Arial" w:cs="Arial"/>
          <w:bCs/>
          <w:sz w:val="22"/>
          <w:szCs w:val="20"/>
        </w:rPr>
        <w:t xml:space="preserve"> </w:t>
      </w:r>
    </w:p>
    <w:p w14:paraId="0B7DB270" w14:textId="77777777" w:rsidR="003D466B" w:rsidRDefault="003D466B" w:rsidP="003D466B">
      <w:pPr>
        <w:numPr>
          <w:ilvl w:val="0"/>
          <w:numId w:val="14"/>
        </w:numPr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 xml:space="preserve">How many acres do you farm? Where is the farm located? What kinds of crops do you grow? </w:t>
      </w:r>
    </w:p>
    <w:p w14:paraId="70331DB2" w14:textId="77777777" w:rsidR="003D466B" w:rsidRPr="007D12FA" w:rsidRDefault="003D466B" w:rsidP="003D466B">
      <w:pPr>
        <w:numPr>
          <w:ilvl w:val="0"/>
          <w:numId w:val="14"/>
        </w:numPr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How do you use</w:t>
      </w:r>
      <w:r w:rsidRPr="007D12FA">
        <w:rPr>
          <w:rFonts w:ascii="Arial" w:hAnsi="Arial" w:cs="Arial"/>
          <w:bCs/>
          <w:sz w:val="22"/>
          <w:szCs w:val="20"/>
        </w:rPr>
        <w:t xml:space="preserve"> these products</w:t>
      </w:r>
      <w:r>
        <w:rPr>
          <w:rFonts w:ascii="Arial" w:hAnsi="Arial" w:cs="Arial"/>
          <w:bCs/>
          <w:sz w:val="22"/>
          <w:szCs w:val="20"/>
        </w:rPr>
        <w:t>: seed treatment, foliar application and/or soil application</w:t>
      </w:r>
      <w:r w:rsidRPr="007D12FA">
        <w:rPr>
          <w:rFonts w:ascii="Arial" w:hAnsi="Arial" w:cs="Arial"/>
          <w:bCs/>
          <w:sz w:val="22"/>
          <w:szCs w:val="20"/>
        </w:rPr>
        <w:t>?</w:t>
      </w:r>
    </w:p>
    <w:p w14:paraId="7407198A" w14:textId="77777777" w:rsidR="003D466B" w:rsidRDefault="003D466B" w:rsidP="003D466B">
      <w:pPr>
        <w:numPr>
          <w:ilvl w:val="0"/>
          <w:numId w:val="14"/>
        </w:numPr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Why do you use these insecticide</w:t>
      </w:r>
      <w:r w:rsidRPr="008754C6">
        <w:rPr>
          <w:rFonts w:ascii="Arial" w:hAnsi="Arial" w:cs="Arial"/>
          <w:bCs/>
          <w:sz w:val="22"/>
          <w:szCs w:val="20"/>
        </w:rPr>
        <w:t>s</w:t>
      </w:r>
      <w:r>
        <w:rPr>
          <w:rFonts w:ascii="Arial" w:hAnsi="Arial" w:cs="Arial"/>
          <w:bCs/>
          <w:sz w:val="22"/>
          <w:szCs w:val="20"/>
        </w:rPr>
        <w:t>? How do they</w:t>
      </w:r>
      <w:r w:rsidRPr="008754C6">
        <w:rPr>
          <w:rFonts w:ascii="Arial" w:hAnsi="Arial" w:cs="Arial"/>
          <w:bCs/>
          <w:sz w:val="22"/>
          <w:szCs w:val="20"/>
        </w:rPr>
        <w:t xml:space="preserve"> benefit your farming operation?</w:t>
      </w:r>
    </w:p>
    <w:p w14:paraId="4F6BC848" w14:textId="77777777" w:rsidR="003D466B" w:rsidRDefault="003D466B" w:rsidP="003D466B">
      <w:pPr>
        <w:numPr>
          <w:ilvl w:val="0"/>
          <w:numId w:val="14"/>
        </w:numPr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If these products were no longer available for use, what effect would that have on how you farm: What other products would you need to use? Would you need to change from seed treatment/soil applications to foliar sprays? Would you need to spray more often, etc.</w:t>
      </w:r>
      <w:r w:rsidRPr="008754C6">
        <w:rPr>
          <w:rFonts w:ascii="Arial" w:hAnsi="Arial" w:cs="Arial"/>
          <w:bCs/>
          <w:sz w:val="22"/>
          <w:szCs w:val="20"/>
        </w:rPr>
        <w:t>?</w:t>
      </w:r>
    </w:p>
    <w:p w14:paraId="74EF4373" w14:textId="77777777" w:rsidR="003D466B" w:rsidRPr="004F7FEA" w:rsidRDefault="003D466B" w:rsidP="003D466B">
      <w:pPr>
        <w:numPr>
          <w:ilvl w:val="0"/>
          <w:numId w:val="14"/>
        </w:numPr>
        <w:rPr>
          <w:rFonts w:ascii="Arial" w:hAnsi="Arial" w:cs="Arial"/>
          <w:bCs/>
          <w:sz w:val="22"/>
          <w:szCs w:val="20"/>
        </w:rPr>
      </w:pPr>
      <w:r w:rsidRPr="00CD3A67">
        <w:rPr>
          <w:rFonts w:ascii="Arial" w:hAnsi="Arial" w:cs="Arial"/>
          <w:bCs/>
          <w:i/>
          <w:sz w:val="22"/>
          <w:szCs w:val="20"/>
        </w:rPr>
        <w:t>Consider closing with:</w:t>
      </w:r>
      <w:r w:rsidRPr="00C9755C">
        <w:rPr>
          <w:rFonts w:ascii="Arial" w:hAnsi="Arial" w:cs="Arial"/>
          <w:bCs/>
          <w:sz w:val="22"/>
          <w:szCs w:val="20"/>
        </w:rPr>
        <w:t xml:space="preserve"> </w:t>
      </w:r>
      <w:r>
        <w:rPr>
          <w:rFonts w:ascii="Arial" w:hAnsi="Arial" w:cs="Arial"/>
          <w:bCs/>
          <w:sz w:val="22"/>
          <w:szCs w:val="20"/>
        </w:rPr>
        <w:t>“</w:t>
      </w:r>
      <w:r w:rsidRPr="004F7FEA">
        <w:rPr>
          <w:rFonts w:ascii="Arial" w:hAnsi="Arial" w:cs="Arial"/>
          <w:bCs/>
          <w:sz w:val="22"/>
          <w:szCs w:val="20"/>
        </w:rPr>
        <w:t>We know these ar</w:t>
      </w:r>
      <w:r>
        <w:rPr>
          <w:rFonts w:ascii="Arial" w:hAnsi="Arial" w:cs="Arial"/>
          <w:bCs/>
          <w:sz w:val="22"/>
          <w:szCs w:val="20"/>
        </w:rPr>
        <w:t>e preliminary risk assessments. We trust EPA will refine, as necessary, based on sound science and field data and think through IPM and resistance management requirements.”</w:t>
      </w:r>
    </w:p>
    <w:p w14:paraId="19FB960E" w14:textId="77777777" w:rsidR="003D466B" w:rsidRPr="0059056C" w:rsidRDefault="003D466B" w:rsidP="003D466B">
      <w:pPr>
        <w:rPr>
          <w:rFonts w:ascii="Arial" w:hAnsi="Arial" w:cs="Arial"/>
          <w:sz w:val="20"/>
          <w:szCs w:val="20"/>
        </w:rPr>
      </w:pPr>
    </w:p>
    <w:p w14:paraId="63B8538D" w14:textId="13A132F7" w:rsidR="003D466B" w:rsidRPr="004E3184" w:rsidRDefault="003D466B" w:rsidP="003D466B">
      <w:pPr>
        <w:pStyle w:val="ListParagraph"/>
        <w:ind w:left="0"/>
        <w:rPr>
          <w:rFonts w:ascii="Arial" w:eastAsia="Times New Roman" w:hAnsi="Arial" w:cs="Arial"/>
          <w:sz w:val="24"/>
          <w:szCs w:val="24"/>
        </w:rPr>
      </w:pPr>
      <w:r w:rsidRPr="004E3184">
        <w:rPr>
          <w:rFonts w:ascii="Arial" w:hAnsi="Arial" w:cs="Arial"/>
          <w:b/>
          <w:bCs/>
          <w:noProof/>
          <w:sz w:val="24"/>
          <w:szCs w:val="24"/>
        </w:rPr>
        <w:t xml:space="preserve">To post a public comment, respond by </w:t>
      </w:r>
      <w:r w:rsidR="00E82743">
        <w:rPr>
          <w:rFonts w:ascii="Arial" w:hAnsi="Arial" w:cs="Arial"/>
          <w:b/>
          <w:bCs/>
          <w:noProof/>
          <w:sz w:val="24"/>
          <w:szCs w:val="24"/>
        </w:rPr>
        <w:t>April 21</w:t>
      </w:r>
      <w:r w:rsidR="00AE555A">
        <w:rPr>
          <w:rFonts w:ascii="Arial" w:hAnsi="Arial" w:cs="Arial"/>
          <w:b/>
          <w:bCs/>
          <w:noProof/>
          <w:sz w:val="24"/>
          <w:szCs w:val="24"/>
        </w:rPr>
        <w:t>st</w:t>
      </w:r>
      <w:r w:rsidRPr="004E3184">
        <w:rPr>
          <w:rFonts w:ascii="Arial" w:hAnsi="Arial" w:cs="Arial"/>
          <w:b/>
          <w:bCs/>
          <w:noProof/>
          <w:sz w:val="24"/>
          <w:szCs w:val="24"/>
        </w:rPr>
        <w:t>:</w:t>
      </w:r>
    </w:p>
    <w:p w14:paraId="316A3877" w14:textId="5B51B2AA" w:rsidR="003D466B" w:rsidRPr="00CD3A67" w:rsidRDefault="003D466B" w:rsidP="003D466B">
      <w:pPr>
        <w:pStyle w:val="ListParagraph"/>
        <w:numPr>
          <w:ilvl w:val="0"/>
          <w:numId w:val="18"/>
        </w:numPr>
        <w:rPr>
          <w:rFonts w:ascii="Arial" w:hAnsi="Arial" w:cs="Arial"/>
          <w:color w:val="0563C1"/>
          <w:sz w:val="22"/>
          <w:u w:val="single"/>
        </w:rPr>
      </w:pPr>
      <w:r w:rsidRPr="00CD3A67">
        <w:rPr>
          <w:rFonts w:ascii="Arial" w:hAnsi="Arial" w:cs="Arial"/>
          <w:bCs/>
          <w:noProof/>
          <w:sz w:val="22"/>
        </w:rPr>
        <w:t>Please post comments</w:t>
      </w:r>
      <w:r w:rsidRPr="002C35AD">
        <w:rPr>
          <w:rFonts w:ascii="Arial" w:hAnsi="Arial" w:cs="Arial"/>
          <w:bCs/>
          <w:noProof/>
          <w:sz w:val="22"/>
        </w:rPr>
        <w:t xml:space="preserve"> </w:t>
      </w:r>
      <w:r w:rsidRPr="00CD3A67">
        <w:rPr>
          <w:rFonts w:ascii="Arial" w:hAnsi="Arial" w:cs="Arial"/>
          <w:bCs/>
          <w:noProof/>
          <w:sz w:val="22"/>
        </w:rPr>
        <w:t xml:space="preserve">on </w:t>
      </w:r>
      <w:r w:rsidRPr="00C5089F">
        <w:rPr>
          <w:rFonts w:ascii="Arial" w:hAnsi="Arial" w:cs="Arial"/>
          <w:b/>
          <w:bCs/>
          <w:noProof/>
          <w:sz w:val="22"/>
          <w:highlight w:val="yellow"/>
          <w:u w:val="single"/>
        </w:rPr>
        <w:t>each</w:t>
      </w:r>
      <w:r w:rsidRPr="00C5089F">
        <w:rPr>
          <w:rFonts w:ascii="Arial" w:hAnsi="Arial" w:cs="Arial"/>
          <w:b/>
          <w:bCs/>
          <w:noProof/>
          <w:sz w:val="22"/>
          <w:highlight w:val="yellow"/>
        </w:rPr>
        <w:t xml:space="preserve"> </w:t>
      </w:r>
      <w:r w:rsidRPr="00074483">
        <w:rPr>
          <w:rFonts w:ascii="Arial" w:hAnsi="Arial" w:cs="Arial"/>
          <w:b/>
          <w:bCs/>
          <w:noProof/>
          <w:sz w:val="22"/>
          <w:highlight w:val="yellow"/>
          <w:u w:val="single"/>
        </w:rPr>
        <w:t>a.i.</w:t>
      </w:r>
      <w:r w:rsidRPr="002C35AD">
        <w:rPr>
          <w:rFonts w:ascii="Arial" w:hAnsi="Arial" w:cs="Arial"/>
          <w:bCs/>
          <w:noProof/>
          <w:sz w:val="22"/>
        </w:rPr>
        <w:t xml:space="preserve"> (can be the same</w:t>
      </w:r>
      <w:r>
        <w:rPr>
          <w:rFonts w:ascii="Arial" w:hAnsi="Arial" w:cs="Arial"/>
          <w:bCs/>
          <w:noProof/>
          <w:sz w:val="22"/>
        </w:rPr>
        <w:t xml:space="preserve"> comments</w:t>
      </w:r>
      <w:r w:rsidRPr="002C35AD">
        <w:rPr>
          <w:rFonts w:ascii="Arial" w:hAnsi="Arial" w:cs="Arial"/>
          <w:bCs/>
          <w:noProof/>
          <w:sz w:val="22"/>
        </w:rPr>
        <w:t xml:space="preserve">) by clicking on the </w:t>
      </w:r>
      <w:r>
        <w:rPr>
          <w:rFonts w:ascii="Arial" w:hAnsi="Arial" w:cs="Arial"/>
          <w:bCs/>
          <w:noProof/>
          <w:sz w:val="22"/>
        </w:rPr>
        <w:t>correlating</w:t>
      </w:r>
      <w:r w:rsidRPr="002C35AD">
        <w:rPr>
          <w:rFonts w:ascii="Arial" w:hAnsi="Arial" w:cs="Arial"/>
          <w:bCs/>
          <w:noProof/>
          <w:sz w:val="22"/>
        </w:rPr>
        <w:t xml:space="preserve"> </w:t>
      </w:r>
      <w:r>
        <w:rPr>
          <w:rFonts w:ascii="Arial" w:hAnsi="Arial" w:cs="Arial"/>
          <w:bCs/>
          <w:noProof/>
          <w:sz w:val="22"/>
        </w:rPr>
        <w:t>docket number</w:t>
      </w:r>
      <w:r w:rsidRPr="002C35AD">
        <w:rPr>
          <w:rFonts w:ascii="Arial" w:hAnsi="Arial" w:cs="Arial"/>
          <w:bCs/>
          <w:noProof/>
          <w:sz w:val="22"/>
        </w:rPr>
        <w:t xml:space="preserve"> </w:t>
      </w:r>
      <w:r w:rsidRPr="00CD3A67">
        <w:rPr>
          <w:rFonts w:ascii="Arial" w:hAnsi="Arial" w:cs="Arial"/>
          <w:bCs/>
          <w:noProof/>
          <w:sz w:val="22"/>
        </w:rPr>
        <w:t xml:space="preserve">in the chart above, i.e. </w:t>
      </w:r>
      <w:r w:rsidRPr="00CD3A67">
        <w:rPr>
          <w:rFonts w:ascii="Arial" w:hAnsi="Arial" w:cs="Arial"/>
          <w:b/>
          <w:sz w:val="22"/>
        </w:rPr>
        <w:t>EPA-HQ-OPP-20__-____</w:t>
      </w:r>
      <w:r w:rsidRPr="00CD3A67">
        <w:rPr>
          <w:rFonts w:ascii="Arial" w:hAnsi="Arial" w:cs="Arial"/>
          <w:sz w:val="22"/>
        </w:rPr>
        <w:t>.</w:t>
      </w:r>
      <w:r w:rsidR="005B0E9B">
        <w:rPr>
          <w:rFonts w:ascii="Arial" w:hAnsi="Arial" w:cs="Arial"/>
          <w:sz w:val="22"/>
        </w:rPr>
        <w:t xml:space="preserve"> </w:t>
      </w:r>
    </w:p>
    <w:p w14:paraId="53050AD1" w14:textId="1899C950" w:rsidR="003D466B" w:rsidRPr="005B0E9B" w:rsidRDefault="003D466B" w:rsidP="003D466B">
      <w:pPr>
        <w:pStyle w:val="ListParagraph"/>
        <w:numPr>
          <w:ilvl w:val="0"/>
          <w:numId w:val="18"/>
        </w:numPr>
        <w:rPr>
          <w:rFonts w:ascii="Arial" w:hAnsi="Arial" w:cs="Arial"/>
          <w:color w:val="0563C1"/>
          <w:sz w:val="20"/>
          <w:szCs w:val="20"/>
          <w:u w:val="single"/>
        </w:rPr>
      </w:pPr>
      <w:r>
        <w:rPr>
          <w:rFonts w:ascii="Arial" w:hAnsi="Arial" w:cs="Arial"/>
          <w:bCs/>
          <w:noProof/>
          <w:sz w:val="22"/>
        </w:rPr>
        <w:t>This takes you to the individual a.i. registration review page (shown below). Then c</w:t>
      </w:r>
      <w:r w:rsidRPr="00591897">
        <w:rPr>
          <w:rFonts w:ascii="Arial" w:hAnsi="Arial" w:cs="Arial"/>
          <w:bCs/>
          <w:noProof/>
          <w:sz w:val="22"/>
        </w:rPr>
        <w:t>lick on the</w:t>
      </w:r>
      <w:r>
        <w:rPr>
          <w:rFonts w:ascii="Arial" w:hAnsi="Arial" w:cs="Arial"/>
          <w:bCs/>
          <w:noProof/>
          <w:sz w:val="22"/>
        </w:rPr>
        <w:t xml:space="preserve"> dark-blue </w:t>
      </w:r>
      <w:r w:rsidRPr="00591897">
        <w:rPr>
          <w:rFonts w:ascii="Arial" w:hAnsi="Arial" w:cs="Arial"/>
          <w:bCs/>
          <w:noProof/>
          <w:sz w:val="22"/>
        </w:rPr>
        <w:t>box</w:t>
      </w:r>
      <w:r>
        <w:rPr>
          <w:rFonts w:ascii="Arial" w:hAnsi="Arial" w:cs="Arial"/>
          <w:bCs/>
          <w:noProof/>
          <w:sz w:val="22"/>
        </w:rPr>
        <w:t>,</w:t>
      </w:r>
      <w:r w:rsidRPr="00591897">
        <w:rPr>
          <w:rFonts w:ascii="Arial" w:hAnsi="Arial" w:cs="Arial"/>
          <w:bCs/>
          <w:noProof/>
          <w:sz w:val="22"/>
        </w:rPr>
        <w:t xml:space="preserve"> “Comment Now!”</w:t>
      </w:r>
    </w:p>
    <w:p w14:paraId="037CC8C0" w14:textId="71BB35BD" w:rsidR="003D466B" w:rsidRDefault="003D466B" w:rsidP="00CA1917">
      <w:pPr>
        <w:pStyle w:val="ListParagraph"/>
        <w:ind w:left="360"/>
        <w:jc w:val="center"/>
        <w:rPr>
          <w:rFonts w:ascii="Arial" w:hAnsi="Arial" w:cs="Arial"/>
          <w:color w:val="0563C1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6BB3497D" wp14:editId="0DCE36D9">
            <wp:extent cx="3990975" cy="1924050"/>
            <wp:effectExtent l="19050" t="19050" r="2857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61237" cy="195792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4719DDA" w14:textId="77777777" w:rsidR="005B0E9B" w:rsidRPr="00CD3A67" w:rsidRDefault="005B0E9B" w:rsidP="003D466B">
      <w:pPr>
        <w:pStyle w:val="ListParagraph"/>
        <w:ind w:left="360"/>
        <w:rPr>
          <w:rFonts w:ascii="Arial" w:hAnsi="Arial" w:cs="Arial"/>
          <w:color w:val="0563C1"/>
          <w:sz w:val="20"/>
          <w:szCs w:val="20"/>
          <w:u w:val="single"/>
        </w:rPr>
      </w:pPr>
    </w:p>
    <w:p w14:paraId="652E128A" w14:textId="77777777" w:rsidR="003D466B" w:rsidRPr="00CD3A67" w:rsidRDefault="003D466B" w:rsidP="003D466B">
      <w:pPr>
        <w:pStyle w:val="ListParagraph"/>
        <w:numPr>
          <w:ilvl w:val="0"/>
          <w:numId w:val="18"/>
        </w:numPr>
        <w:rPr>
          <w:rFonts w:ascii="Arial" w:hAnsi="Arial" w:cs="Arial"/>
          <w:bCs/>
          <w:noProof/>
          <w:sz w:val="22"/>
        </w:rPr>
      </w:pPr>
      <w:r>
        <w:rPr>
          <w:rFonts w:ascii="Arial" w:hAnsi="Arial" w:cs="Arial"/>
          <w:bCs/>
          <w:noProof/>
          <w:sz w:val="22"/>
        </w:rPr>
        <w:t xml:space="preserve">The next screen shows: “You are commenting on.” </w:t>
      </w:r>
      <w:r w:rsidRPr="00CD3A67">
        <w:rPr>
          <w:rFonts w:ascii="Arial" w:hAnsi="Arial" w:cs="Arial"/>
          <w:bCs/>
          <w:noProof/>
          <w:sz w:val="22"/>
        </w:rPr>
        <w:t>Enter comments in box – 5,000 character limi</w:t>
      </w:r>
      <w:r>
        <w:rPr>
          <w:rFonts w:ascii="Arial" w:hAnsi="Arial" w:cs="Arial"/>
          <w:bCs/>
          <w:noProof/>
          <w:sz w:val="22"/>
        </w:rPr>
        <w:t>t. You have the option of uploading files. When finished, p</w:t>
      </w:r>
      <w:r w:rsidRPr="00CD3A67">
        <w:rPr>
          <w:rFonts w:ascii="Arial" w:hAnsi="Arial" w:cs="Arial"/>
          <w:bCs/>
          <w:noProof/>
          <w:sz w:val="22"/>
        </w:rPr>
        <w:t>ress “Continue” button on bottom right.</w:t>
      </w:r>
    </w:p>
    <w:p w14:paraId="338A1917" w14:textId="77777777" w:rsidR="003D466B" w:rsidRDefault="003D466B" w:rsidP="003D466B">
      <w:pPr>
        <w:pStyle w:val="ListParagraph"/>
        <w:numPr>
          <w:ilvl w:val="0"/>
          <w:numId w:val="18"/>
        </w:numPr>
        <w:rPr>
          <w:rFonts w:ascii="Arial" w:hAnsi="Arial" w:cs="Arial"/>
          <w:bCs/>
          <w:noProof/>
          <w:sz w:val="22"/>
        </w:rPr>
      </w:pPr>
      <w:r>
        <w:rPr>
          <w:rFonts w:ascii="Arial" w:hAnsi="Arial" w:cs="Arial"/>
          <w:bCs/>
          <w:noProof/>
          <w:sz w:val="22"/>
        </w:rPr>
        <w:t>Next, you can</w:t>
      </w:r>
      <w:r w:rsidRPr="00A92CD5">
        <w:rPr>
          <w:rFonts w:ascii="Arial" w:hAnsi="Arial" w:cs="Arial"/>
          <w:bCs/>
          <w:noProof/>
          <w:sz w:val="22"/>
        </w:rPr>
        <w:t xml:space="preserve"> previ</w:t>
      </w:r>
      <w:r>
        <w:rPr>
          <w:rFonts w:ascii="Arial" w:hAnsi="Arial" w:cs="Arial"/>
          <w:bCs/>
          <w:noProof/>
          <w:sz w:val="22"/>
        </w:rPr>
        <w:t xml:space="preserve">ew and edit comments. </w:t>
      </w:r>
      <w:r w:rsidRPr="00CD3A67">
        <w:rPr>
          <w:rFonts w:ascii="Arial" w:hAnsi="Arial" w:cs="Arial"/>
          <w:bCs/>
          <w:noProof/>
          <w:sz w:val="22"/>
          <w:u w:val="single"/>
        </w:rPr>
        <w:t>You must check the box</w:t>
      </w:r>
      <w:r>
        <w:rPr>
          <w:rFonts w:ascii="Arial" w:hAnsi="Arial" w:cs="Arial"/>
          <w:bCs/>
          <w:noProof/>
          <w:sz w:val="22"/>
        </w:rPr>
        <w:t>,</w:t>
      </w:r>
      <w:r w:rsidRPr="00A92CD5">
        <w:rPr>
          <w:rFonts w:ascii="Arial" w:hAnsi="Arial" w:cs="Arial"/>
          <w:bCs/>
          <w:noProof/>
          <w:sz w:val="22"/>
        </w:rPr>
        <w:t xml:space="preserve"> “</w:t>
      </w:r>
      <w:r w:rsidRPr="00CD3A67">
        <w:rPr>
          <w:rFonts w:ascii="Arial" w:hAnsi="Arial" w:cs="Arial"/>
          <w:bCs/>
          <w:i/>
          <w:noProof/>
          <w:sz w:val="22"/>
        </w:rPr>
        <w:t>I read and understand the statement above,</w:t>
      </w:r>
      <w:r w:rsidRPr="00A92CD5">
        <w:rPr>
          <w:rFonts w:ascii="Arial" w:hAnsi="Arial" w:cs="Arial"/>
          <w:bCs/>
          <w:noProof/>
          <w:sz w:val="22"/>
        </w:rPr>
        <w:t>” before you can click “Submit comment.”</w:t>
      </w:r>
    </w:p>
    <w:p w14:paraId="53F162D8" w14:textId="77777777" w:rsidR="003D466B" w:rsidRPr="00CD3A67" w:rsidRDefault="003D466B" w:rsidP="003D466B">
      <w:pPr>
        <w:pStyle w:val="ListParagraph"/>
        <w:numPr>
          <w:ilvl w:val="0"/>
          <w:numId w:val="18"/>
        </w:numPr>
        <w:rPr>
          <w:rFonts w:ascii="Arial" w:hAnsi="Arial" w:cs="Arial"/>
          <w:bCs/>
          <w:noProof/>
          <w:sz w:val="22"/>
        </w:rPr>
      </w:pPr>
      <w:r w:rsidRPr="00CD3A67">
        <w:rPr>
          <w:rFonts w:ascii="Arial" w:hAnsi="Arial" w:cs="Arial"/>
          <w:bCs/>
          <w:noProof/>
          <w:sz w:val="22"/>
        </w:rPr>
        <w:t xml:space="preserve">The next page provides a receipt number to verify your comments have been received by EPA. </w:t>
      </w:r>
    </w:p>
    <w:p w14:paraId="0D27ADDF" w14:textId="77777777" w:rsidR="001D0D00" w:rsidRDefault="001D0D00" w:rsidP="003D466B">
      <w:pPr>
        <w:rPr>
          <w:rFonts w:ascii="Arial" w:hAnsi="Arial" w:cs="Arial"/>
          <w:b/>
          <w:bCs/>
          <w:sz w:val="24"/>
          <w:szCs w:val="24"/>
        </w:rPr>
      </w:pPr>
    </w:p>
    <w:p w14:paraId="70ADEFD3" w14:textId="37FD0B34" w:rsidR="00BA5029" w:rsidRPr="002D328C" w:rsidRDefault="00A15257" w:rsidP="003D466B">
      <w:pPr>
        <w:rPr>
          <w:rFonts w:ascii="Arial" w:hAnsi="Arial" w:cs="Arial"/>
          <w:b/>
          <w:bCs/>
          <w:i/>
          <w:sz w:val="24"/>
          <w:szCs w:val="24"/>
        </w:rPr>
      </w:pPr>
      <w:r w:rsidRPr="002D328C">
        <w:rPr>
          <w:rFonts w:ascii="Arial" w:hAnsi="Arial" w:cs="Arial"/>
          <w:b/>
          <w:bCs/>
          <w:i/>
          <w:sz w:val="24"/>
          <w:szCs w:val="24"/>
        </w:rPr>
        <w:t>Thank you for your support.</w:t>
      </w:r>
    </w:p>
    <w:sectPr w:rsidR="00BA5029" w:rsidRPr="002D328C" w:rsidSect="005C4041">
      <w:head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BB4915" w16cid:durableId="1E147988"/>
  <w16cid:commentId w16cid:paraId="2EDADB3B" w16cid:durableId="1E1479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3E208" w14:textId="77777777" w:rsidR="00EE1C67" w:rsidRDefault="00EE1C67">
      <w:r>
        <w:separator/>
      </w:r>
    </w:p>
  </w:endnote>
  <w:endnote w:type="continuationSeparator" w:id="0">
    <w:p w14:paraId="7D636979" w14:textId="77777777" w:rsidR="00EE1C67" w:rsidRDefault="00E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FFA1C" w14:textId="64E88BCE" w:rsidR="00E369F5" w:rsidRDefault="00E369F5" w:rsidP="00E369F5">
    <w:pPr>
      <w:pStyle w:val="Footer"/>
      <w:jc w:val="center"/>
    </w:pPr>
    <w:r>
      <w:rPr>
        <w:rFonts w:ascii="Verdana" w:hAnsi="Verdana"/>
        <w:color w:val="4E3D2B"/>
      </w:rPr>
      <w:t>B</w:t>
    </w:r>
    <w:r w:rsidR="00C0185B">
      <w:rPr>
        <w:rFonts w:ascii="Verdana" w:hAnsi="Verdana"/>
        <w:color w:val="4E3D2B"/>
      </w:rPr>
      <w:t xml:space="preserve">ayer </w:t>
    </w:r>
    <w:proofErr w:type="gramStart"/>
    <w:r w:rsidR="00C0185B">
      <w:rPr>
        <w:rFonts w:ascii="Verdana" w:hAnsi="Verdana"/>
        <w:color w:val="4E3D2B"/>
      </w:rPr>
      <w:t>Crop</w:t>
    </w:r>
    <w:r>
      <w:rPr>
        <w:rFonts w:ascii="Verdana" w:hAnsi="Verdana"/>
        <w:color w:val="4E3D2B"/>
      </w:rPr>
      <w:t xml:space="preserve">Science </w:t>
    </w:r>
    <w:r>
      <w:rPr>
        <w:rStyle w:val="st1"/>
        <w:rFonts w:ascii="Arial" w:hAnsi="Arial" w:cs="Arial"/>
        <w:color w:val="545454"/>
        <w:lang w:val="en"/>
      </w:rPr>
      <w:t xml:space="preserve"> -</w:t>
    </w:r>
    <w:proofErr w:type="gramEnd"/>
    <w:r>
      <w:rPr>
        <w:rStyle w:val="st1"/>
        <w:rFonts w:ascii="Arial" w:hAnsi="Arial" w:cs="Arial"/>
        <w:color w:val="545454"/>
        <w:lang w:val="en"/>
      </w:rPr>
      <w:t xml:space="preserve"> </w:t>
    </w:r>
    <w:r>
      <w:rPr>
        <w:rFonts w:ascii="Verdana" w:hAnsi="Verdana"/>
        <w:color w:val="4E3D2B"/>
      </w:rPr>
      <w:t xml:space="preserve"> Syngenta  -  Valent U</w:t>
    </w:r>
    <w:r w:rsidR="002051DE">
      <w:rPr>
        <w:rFonts w:ascii="Verdana" w:hAnsi="Verdana"/>
        <w:color w:val="4E3D2B"/>
      </w:rPr>
      <w:t>.</w:t>
    </w:r>
    <w:r>
      <w:rPr>
        <w:rFonts w:ascii="Verdana" w:hAnsi="Verdana"/>
        <w:color w:val="4E3D2B"/>
      </w:rPr>
      <w:t>S</w:t>
    </w:r>
    <w:r w:rsidR="002051DE">
      <w:rPr>
        <w:rFonts w:ascii="Verdana" w:hAnsi="Verdana"/>
        <w:color w:val="4E3D2B"/>
      </w:rPr>
      <w:t>.</w:t>
    </w:r>
    <w:r>
      <w:rPr>
        <w:rFonts w:ascii="Verdana" w:hAnsi="Verdana"/>
        <w:color w:val="4E3D2B"/>
      </w:rPr>
      <w:t>A</w:t>
    </w:r>
    <w:r w:rsidR="002051DE">
      <w:rPr>
        <w:rFonts w:ascii="Verdana" w:hAnsi="Verdana"/>
        <w:color w:val="4E3D2B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FAB17" w14:textId="77777777" w:rsidR="00EE1C67" w:rsidRDefault="00EE1C67">
      <w:r>
        <w:separator/>
      </w:r>
    </w:p>
  </w:footnote>
  <w:footnote w:type="continuationSeparator" w:id="0">
    <w:p w14:paraId="68C98700" w14:textId="77777777" w:rsidR="00EE1C67" w:rsidRDefault="00EE1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5C4041" w14:paraId="61995C21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7B90492F" w14:textId="77777777" w:rsidR="005C4041" w:rsidRDefault="001A0B21"/>
      </w:tc>
      <w:tc>
        <w:tcPr>
          <w:tcW w:w="100" w:type="pct"/>
        </w:tcPr>
        <w:p w14:paraId="69548FFA" w14:textId="77777777" w:rsidR="005C4041" w:rsidRDefault="001A0B21"/>
      </w:tc>
      <w:tc>
        <w:tcPr>
          <w:tcW w:w="1600" w:type="pct"/>
          <w:shd w:val="clear" w:color="auto" w:fill="999966" w:themeFill="accent4"/>
        </w:tcPr>
        <w:p w14:paraId="6C24460E" w14:textId="77777777" w:rsidR="005C4041" w:rsidRDefault="001A0B21"/>
      </w:tc>
      <w:tc>
        <w:tcPr>
          <w:tcW w:w="100" w:type="pct"/>
        </w:tcPr>
        <w:p w14:paraId="46A077EE" w14:textId="77777777" w:rsidR="005C4041" w:rsidRDefault="001A0B21"/>
      </w:tc>
      <w:tc>
        <w:tcPr>
          <w:tcW w:w="1600" w:type="pct"/>
          <w:shd w:val="clear" w:color="auto" w:fill="666699" w:themeFill="accent3"/>
        </w:tcPr>
        <w:p w14:paraId="1525AE38" w14:textId="77777777" w:rsidR="005C4041" w:rsidRDefault="001A0B21"/>
      </w:tc>
    </w:tr>
  </w:tbl>
  <w:p w14:paraId="53704A42" w14:textId="520EF114" w:rsidR="005C4041" w:rsidRDefault="001E0C5C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1A0B2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635BB" w14:textId="77777777" w:rsidR="005C4041" w:rsidRDefault="001E0C5C">
    <w:pPr>
      <w:pStyle w:val="Header-Left"/>
    </w:pPr>
    <w:r>
      <w:rPr>
        <w:noProof/>
      </w:rPr>
      <w:drawing>
        <wp:inline distT="0" distB="0" distL="0" distR="0" wp14:anchorId="29D948D4" wp14:editId="0FCBB6C0">
          <wp:extent cx="1435100" cy="779738"/>
          <wp:effectExtent l="25400" t="0" r="0" b="0"/>
          <wp:docPr id="1" name="Picture 0" descr="GM Logo_Colo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 Logo_Color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5468" cy="779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5C4041" w14:paraId="4403F89D" w14:textId="77777777" w:rsidTr="00E369F5">
      <w:trPr>
        <w:trHeight w:val="288"/>
      </w:trPr>
      <w:tc>
        <w:tcPr>
          <w:tcW w:w="1600" w:type="pct"/>
          <w:shd w:val="clear" w:color="auto" w:fill="8CC63E"/>
        </w:tcPr>
        <w:p w14:paraId="5907F949" w14:textId="77777777" w:rsidR="005C4041" w:rsidRDefault="001A0B21"/>
      </w:tc>
      <w:tc>
        <w:tcPr>
          <w:tcW w:w="100" w:type="pct"/>
        </w:tcPr>
        <w:p w14:paraId="21F341C2" w14:textId="77777777" w:rsidR="005C4041" w:rsidRDefault="001A0B21"/>
      </w:tc>
      <w:tc>
        <w:tcPr>
          <w:tcW w:w="1600" w:type="pct"/>
          <w:shd w:val="clear" w:color="auto" w:fill="4E3D2B"/>
        </w:tcPr>
        <w:p w14:paraId="0C2E79F5" w14:textId="77777777" w:rsidR="005C4041" w:rsidRDefault="001A0B21"/>
      </w:tc>
      <w:tc>
        <w:tcPr>
          <w:tcW w:w="100" w:type="pct"/>
        </w:tcPr>
        <w:p w14:paraId="6E09749B" w14:textId="77777777" w:rsidR="005C4041" w:rsidRDefault="001A0B21"/>
      </w:tc>
      <w:tc>
        <w:tcPr>
          <w:tcW w:w="1600" w:type="pct"/>
          <w:shd w:val="clear" w:color="auto" w:fill="5B8D19"/>
        </w:tcPr>
        <w:p w14:paraId="7BCB5EE2" w14:textId="77777777" w:rsidR="005C4041" w:rsidRDefault="001A0B21"/>
      </w:tc>
    </w:tr>
  </w:tbl>
  <w:p w14:paraId="6B914B2D" w14:textId="77777777" w:rsidR="005C4041" w:rsidRDefault="001A0B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41417"/>
    <w:multiLevelType w:val="hybridMultilevel"/>
    <w:tmpl w:val="E86AC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43471B"/>
    <w:multiLevelType w:val="hybridMultilevel"/>
    <w:tmpl w:val="ED043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054E0"/>
    <w:multiLevelType w:val="hybridMultilevel"/>
    <w:tmpl w:val="A300B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533D0B"/>
    <w:multiLevelType w:val="hybridMultilevel"/>
    <w:tmpl w:val="F8E284F6"/>
    <w:lvl w:ilvl="0" w:tplc="CEA08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0122D"/>
    <w:multiLevelType w:val="hybridMultilevel"/>
    <w:tmpl w:val="FB860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897F23"/>
    <w:multiLevelType w:val="hybridMultilevel"/>
    <w:tmpl w:val="756E7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D54EF1"/>
    <w:multiLevelType w:val="hybridMultilevel"/>
    <w:tmpl w:val="684A5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334C5B"/>
    <w:multiLevelType w:val="hybridMultilevel"/>
    <w:tmpl w:val="2592B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525427"/>
    <w:multiLevelType w:val="hybridMultilevel"/>
    <w:tmpl w:val="8952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80AF5"/>
    <w:multiLevelType w:val="hybridMultilevel"/>
    <w:tmpl w:val="B6AC7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5872A1"/>
    <w:multiLevelType w:val="hybridMultilevel"/>
    <w:tmpl w:val="DC2659DC"/>
    <w:lvl w:ilvl="0" w:tplc="AEFCA9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EB4792"/>
    <w:multiLevelType w:val="hybridMultilevel"/>
    <w:tmpl w:val="EC04E86C"/>
    <w:lvl w:ilvl="0" w:tplc="CEA08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8"/>
  </w:num>
  <w:num w:numId="13">
    <w:abstractNumId w:val="14"/>
  </w:num>
  <w:num w:numId="14">
    <w:abstractNumId w:val="16"/>
  </w:num>
  <w:num w:numId="15">
    <w:abstractNumId w:val="19"/>
  </w:num>
  <w:num w:numId="16">
    <w:abstractNumId w:val="21"/>
  </w:num>
  <w:num w:numId="17">
    <w:abstractNumId w:val="13"/>
  </w:num>
  <w:num w:numId="18">
    <w:abstractNumId w:val="20"/>
  </w:num>
  <w:num w:numId="19">
    <w:abstractNumId w:val="10"/>
  </w:num>
  <w:num w:numId="20">
    <w:abstractNumId w:val="17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Type w:val="letter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369F5"/>
    <w:rsid w:val="00012E1F"/>
    <w:rsid w:val="00022830"/>
    <w:rsid w:val="00074483"/>
    <w:rsid w:val="000B64B1"/>
    <w:rsid w:val="000C5B78"/>
    <w:rsid w:val="000D4C2A"/>
    <w:rsid w:val="000E7656"/>
    <w:rsid w:val="0010035A"/>
    <w:rsid w:val="001637EF"/>
    <w:rsid w:val="001A0B21"/>
    <w:rsid w:val="001D0D00"/>
    <w:rsid w:val="001E0C5C"/>
    <w:rsid w:val="002051DE"/>
    <w:rsid w:val="0022705F"/>
    <w:rsid w:val="002654AF"/>
    <w:rsid w:val="0027438E"/>
    <w:rsid w:val="002C6390"/>
    <w:rsid w:val="002D328C"/>
    <w:rsid w:val="00312098"/>
    <w:rsid w:val="00366697"/>
    <w:rsid w:val="003D466B"/>
    <w:rsid w:val="003D6561"/>
    <w:rsid w:val="003E6619"/>
    <w:rsid w:val="003F214E"/>
    <w:rsid w:val="004E3184"/>
    <w:rsid w:val="004F7561"/>
    <w:rsid w:val="005429B8"/>
    <w:rsid w:val="005522EF"/>
    <w:rsid w:val="00577427"/>
    <w:rsid w:val="005A2E19"/>
    <w:rsid w:val="005B0E9B"/>
    <w:rsid w:val="005C321A"/>
    <w:rsid w:val="005F2C62"/>
    <w:rsid w:val="006D2A15"/>
    <w:rsid w:val="007720FB"/>
    <w:rsid w:val="0079206C"/>
    <w:rsid w:val="007E6C4E"/>
    <w:rsid w:val="008F0919"/>
    <w:rsid w:val="00904E4E"/>
    <w:rsid w:val="00920F7A"/>
    <w:rsid w:val="0092492A"/>
    <w:rsid w:val="00980818"/>
    <w:rsid w:val="009B1ACE"/>
    <w:rsid w:val="00A15257"/>
    <w:rsid w:val="00A33FB0"/>
    <w:rsid w:val="00A67631"/>
    <w:rsid w:val="00AA550D"/>
    <w:rsid w:val="00AE11FC"/>
    <w:rsid w:val="00AE555A"/>
    <w:rsid w:val="00B01D92"/>
    <w:rsid w:val="00B44B29"/>
    <w:rsid w:val="00B94E15"/>
    <w:rsid w:val="00BA5029"/>
    <w:rsid w:val="00BE2523"/>
    <w:rsid w:val="00C0185B"/>
    <w:rsid w:val="00C057FA"/>
    <w:rsid w:val="00C07DE8"/>
    <w:rsid w:val="00C87011"/>
    <w:rsid w:val="00CA1917"/>
    <w:rsid w:val="00CF40DE"/>
    <w:rsid w:val="00D1144D"/>
    <w:rsid w:val="00D31ED9"/>
    <w:rsid w:val="00D36DBA"/>
    <w:rsid w:val="00DC0EA9"/>
    <w:rsid w:val="00DF52F4"/>
    <w:rsid w:val="00DF5A56"/>
    <w:rsid w:val="00E369F5"/>
    <w:rsid w:val="00E64B6F"/>
    <w:rsid w:val="00E82743"/>
    <w:rsid w:val="00EB1C61"/>
    <w:rsid w:val="00EE1C67"/>
    <w:rsid w:val="00E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E56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4041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4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customStyle="1" w:styleId="st1">
    <w:name w:val="st1"/>
    <w:basedOn w:val="DefaultParagraphFont"/>
    <w:rsid w:val="00E369F5"/>
  </w:style>
  <w:style w:type="character" w:styleId="Hyperlink">
    <w:name w:val="Hyperlink"/>
    <w:basedOn w:val="DefaultParagraphFont"/>
    <w:uiPriority w:val="99"/>
    <w:unhideWhenUsed/>
    <w:rsid w:val="001003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35A"/>
    <w:rPr>
      <w:color w:val="9775A7" w:themeColor="followedHyperlink"/>
      <w:u w:val="single"/>
    </w:rPr>
  </w:style>
  <w:style w:type="table" w:styleId="TableGrid">
    <w:name w:val="Table Grid"/>
    <w:basedOn w:val="TableNormal"/>
    <w:uiPriority w:val="39"/>
    <w:rsid w:val="003D466B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29B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4041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4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customStyle="1" w:styleId="st1">
    <w:name w:val="st1"/>
    <w:basedOn w:val="DefaultParagraphFont"/>
    <w:rsid w:val="00E369F5"/>
  </w:style>
  <w:style w:type="character" w:styleId="Hyperlink">
    <w:name w:val="Hyperlink"/>
    <w:basedOn w:val="DefaultParagraphFont"/>
    <w:uiPriority w:val="99"/>
    <w:unhideWhenUsed/>
    <w:rsid w:val="001003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35A"/>
    <w:rPr>
      <w:color w:val="9775A7" w:themeColor="followedHyperlink"/>
      <w:u w:val="single"/>
    </w:rPr>
  </w:style>
  <w:style w:type="table" w:styleId="TableGrid">
    <w:name w:val="Table Grid"/>
    <w:basedOn w:val="TableNormal"/>
    <w:uiPriority w:val="39"/>
    <w:rsid w:val="003D466B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29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wingMatters.org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egulations.gov/docket?D=EPA-HQ-OPP-2011-09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gulations.gov/docket?D=EPA-HQ-OPP-2011-058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egulations.gov/docket?D=EPA-HQ-OPP-2011-08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ulations.gov/docket?D=EPA-HQ-OPP-2008-0844" TargetMode="Externa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4600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Huffines</dc:creator>
  <cp:lastModifiedBy>Lee Hall</cp:lastModifiedBy>
  <cp:revision>2</cp:revision>
  <dcterms:created xsi:type="dcterms:W3CDTF">2018-03-23T18:21:00Z</dcterms:created>
  <dcterms:modified xsi:type="dcterms:W3CDTF">2018-03-23T18:21:00Z</dcterms:modified>
</cp:coreProperties>
</file>